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0"/>
      </w:pPr>
    </w:p>
    <w:p>
      <w:pPr>
        <w:spacing w:after="300"/>
      </w:pPr>
    </w:p>
    <w:p>
      <w:pPr>
        <w:spacing w:after="300"/>
      </w:pPr>
    </w:p>
    <w:p>
      <w:pPr>
        <w:spacing w:after="300"/>
      </w:pPr>
    </w:p>
    <w:p>
      <w:pPr>
        <w:spacing w:after="300"/>
        <w:jc w:val="center"/>
      </w:pPr>
      <w:r>
        <w:rPr>
          <w:rFonts w:ascii="Calibri" w:hAnsi="Calibri"/>
          <w:b/>
          <w:i w:val="0"/>
          <w:caps/>
          <w:color w:val="B57519"/>
          <w:sz w:val="21"/>
        </w:rPr>
        <w:t>EVENTFIELDAUDIO</w:t>
      </w:r>
    </w:p>
    <w:p>
      <w:pPr>
        <w:spacing w:after="200"/>
        <w:jc w:val="center"/>
      </w:pPr>
      <w:r>
        <w:rPr>
          <w:rFonts w:ascii="Calibri" w:hAnsi="Calibri"/>
          <w:b/>
          <w:i w:val="0"/>
          <w:caps w:val="0"/>
          <w:color w:val="1C1A22"/>
          <w:sz w:val="68"/>
        </w:rPr>
        <w:t>DriftGrid</w:t>
      </w:r>
    </w:p>
    <w:p>
      <w:pPr>
        <w:spacing w:after="480"/>
        <w:jc w:val="center"/>
      </w:pPr>
      <w:r>
        <w:rPr>
          <w:rFonts w:ascii="Calibri" w:hAnsi="Calibri"/>
          <w:b w:val="0"/>
          <w:i w:val="0"/>
          <w:caps w:val="0"/>
          <w:color w:val="4D4756"/>
          <w:sz w:val="32"/>
        </w:rPr>
        <w:t>A Browser-Native Environment for Composing</w:t>
        <w:br/>
        <w:t>with Phase, Drift and Controlled Divergence</w:t>
      </w:r>
    </w:p>
    <w:p>
      <w:pPr>
        <w:pBdr>
          <w:bottom w:val="single" w:sz="16" w:space="5" w:color="B57519"/>
        </w:pBdr>
        <w:spacing w:after="760"/>
        <w:ind w:left="2376" w:right="2376"/>
        <w:jc w:val="center"/>
      </w:pPr>
    </w:p>
    <w:p>
      <w:pPr>
        <w:spacing w:after="100"/>
        <w:jc w:val="center"/>
      </w:pPr>
      <w:r>
        <w:rPr>
          <w:rFonts w:ascii="Calibri" w:hAnsi="Calibri"/>
          <w:b/>
          <w:i w:val="0"/>
          <w:caps w:val="0"/>
          <w:color w:val="686370"/>
          <w:sz w:val="20"/>
        </w:rPr>
        <w:t>TECHNICAL WHITE PAPER</w:t>
      </w:r>
    </w:p>
    <w:p>
      <w:pPr>
        <w:spacing w:after="80"/>
        <w:jc w:val="center"/>
      </w:pPr>
      <w:r>
        <w:rPr>
          <w:rFonts w:ascii="Calibri" w:hAnsi="Calibri"/>
          <w:b w:val="0"/>
          <w:i w:val="0"/>
          <w:caps w:val="0"/>
          <w:color w:val="1C1A22"/>
          <w:sz w:val="22"/>
        </w:rPr>
        <w:t>Version 1.0.0 · 27 July 2026</w:t>
      </w:r>
    </w:p>
    <w:p>
      <w:pPr>
        <w:jc w:val="center"/>
      </w:pPr>
      <w:r>
        <w:rPr>
          <w:rFonts w:ascii="Calibri" w:hAnsi="Calibri"/>
          <w:b/>
          <w:i w:val="0"/>
          <w:caps w:val="0"/>
          <w:color w:val="1C1A22"/>
          <w:sz w:val="22"/>
        </w:rPr>
        <w:t>James Richmond</w:t>
      </w:r>
    </w:p>
    <w:p>
      <w:r>
        <w:br w:type="page"/>
      </w:r>
    </w:p>
    <w:p>
      <w:pPr>
        <w:pStyle w:val="Heading1"/>
      </w:pPr>
      <w:r>
        <w:t>Abstract</w:t>
      </w:r>
    </w:p>
    <w:p>
      <w:pPr>
        <w:pStyle w:val="AbstractBody"/>
      </w:pPr>
      <w:r>
        <w:t>DriftGrid is a browser-native environment for composing with phase relationships. Two to four audio loops are placed on a shared metrical grid, and each is then allowed to drift away from that grid by a small, precisely controlled amount. Drift may be applied to one of three independent targets: playback rate, cycle length, or read position within the source buffer. Each part carries a boundary that determines how far it may stray before its drift reverses, so that phase displacement becomes a bounded excursion rather than a one-way departure.</w:t>
      </w:r>
    </w:p>
    <w:p>
      <w:pPr>
        <w:pStyle w:val="AbstractBody"/>
      </w:pPr>
      <w:r>
        <w:t>The system is implemented as a single self-contained HTML document with no external dependencies, running directly on the Web Audio API. Loop material is either supplied by the user as decoded audio files or synthesised in the browser from a library of fifteen built-in generators, rendered offline through OfflineAudioContext and seeded deterministically so that two instances of the same material are sample-identical and can therefore phase against one another rather than merely differ.</w:t>
      </w:r>
    </w:p>
    <w:p>
      <w:pPr>
        <w:pStyle w:val="AbstractBody"/>
      </w:pPr>
      <w:r>
        <w:t>Beyond independent drift, parts may be coupled: pulled back toward the shared grid, pushed out to their boundaries, or driven sinusoidally so that they orbit the grid and return on a fixed period. A quantisation stage snaps audible onsets toward a metrical subdivision without disturbing the underlying drift accumulator, permitting continuous phase displacement and discrete rhythmic placement to coexist — the distinction between the smooth phasing of Piano Phase and the stepwise displacement of Clapping Music becomes a single continuous control.</w:t>
      </w:r>
    </w:p>
    <w:p>
      <w:pPr>
        <w:pStyle w:val="AbstractBody"/>
      </w:pPr>
      <w:r>
        <w:t>Because the significant moments in phase music are emergent and unscheduled, the system observes its own output. A rolling audio buffer is maintained post-effects; alignment between parts is scored continuously, and passages exceeding a configurable threshold are written to disk automatically with pre-roll. A stochastic capture mode additionally rolls a weighted die once per bar, biased optionally toward moments of tight alignment or of rapid movement, retaining material the composer did not select.</w:t>
      </w:r>
    </w:p>
    <w:p>
      <w:pPr>
        <w:pStyle w:val="AbstractBody"/>
      </w:pPr>
      <w:r>
        <w:t>This paper specifies the implemented drift model, the coupling and boundary dynamics, the scheduling architecture, the synthesis library, the master effects chain, the alignment and capture subsystems, and the resource characteristics of version 1.0.0. It concludes with the known limitations of the current release and the engineering roadmap.</w:t>
      </w:r>
    </w:p>
    <w:p>
      <w:pPr>
        <w:pStyle w:val="AbstractBody"/>
      </w:pPr>
      <w:r>
        <w:rPr>
          <w:rFonts w:ascii="Calibri" w:hAnsi="Calibri"/>
          <w:b w:val="0"/>
          <w:i/>
          <w:caps w:val="0"/>
          <w:color w:val="1C1A22"/>
        </w:rPr>
        <w:t xml:space="preserve">Keywords: </w:t>
      </w:r>
      <w:r>
        <w:rPr>
          <w:rFonts w:ascii="Calibri" w:hAnsi="Calibri"/>
          <w:b w:val="0"/>
          <w:i w:val="0"/>
          <w:caps w:val="0"/>
          <w:color w:val="1C1A22"/>
        </w:rPr>
        <w:t>phase music, process composition, Web Audio API, drift, phase displacement, stochastic capture, generative recording, browser audio</w:t>
      </w:r>
    </w:p>
    <w:p>
      <w:pPr>
        <w:pStyle w:val="Heading1"/>
      </w:pPr>
      <w:r>
        <w:t>Contents</w:t>
      </w:r>
    </w:p>
    <w:p>
      <w:pPr>
        <w:keepLines/>
        <w:tabs>
          <w:tab w:pos="9360" w:val="right" w:leader="dot"/>
        </w:tabs>
        <w:spacing w:before="0" w:after="50" w:line="240" w:lineRule="auto"/>
      </w:pPr>
      <w:r>
        <w:rPr>
          <w:rFonts w:ascii="Calibri" w:hAnsi="Calibri"/>
          <w:color w:val="1C1A22"/>
          <w:sz w:val="19"/>
        </w:rPr>
        <w:t>1. System purpose</w:t>
      </w:r>
      <w:r>
        <w:rPr>
          <w:rFonts w:ascii="Calibri" w:hAnsi="Calibri"/>
          <w:b/>
          <w:color w:val="686370"/>
          <w:sz w:val="19"/>
        </w:rPr>
        <w:tab/>
        <w:t>4</w:t>
      </w:r>
    </w:p>
    <w:p>
      <w:pPr>
        <w:keepLines/>
        <w:tabs>
          <w:tab w:pos="9360" w:val="right" w:leader="dot"/>
        </w:tabs>
        <w:spacing w:before="0" w:after="50" w:line="240" w:lineRule="auto"/>
      </w:pPr>
      <w:r>
        <w:rPr>
          <w:rFonts w:ascii="Calibri" w:hAnsi="Calibri"/>
          <w:color w:val="1C1A22"/>
          <w:sz w:val="19"/>
        </w:rPr>
        <w:t>2. Architectural overview</w:t>
      </w:r>
      <w:r>
        <w:rPr>
          <w:rFonts w:ascii="Calibri" w:hAnsi="Calibri"/>
          <w:b/>
          <w:color w:val="686370"/>
          <w:sz w:val="19"/>
        </w:rPr>
        <w:tab/>
        <w:t>4</w:t>
      </w:r>
    </w:p>
    <w:p>
      <w:pPr>
        <w:keepLines/>
        <w:tabs>
          <w:tab w:pos="9360" w:val="right" w:leader="dot"/>
        </w:tabs>
        <w:spacing w:before="0" w:after="50" w:line="240" w:lineRule="auto"/>
      </w:pPr>
      <w:r>
        <w:rPr>
          <w:rFonts w:ascii="Calibri" w:hAnsi="Calibri"/>
          <w:color w:val="1C1A22"/>
          <w:sz w:val="19"/>
        </w:rPr>
        <w:t>3. Loop sources and the material library</w:t>
      </w:r>
      <w:r>
        <w:rPr>
          <w:rFonts w:ascii="Calibri" w:hAnsi="Calibri"/>
          <w:b/>
          <w:color w:val="686370"/>
          <w:sz w:val="19"/>
        </w:rPr>
        <w:tab/>
        <w:t>7</w:t>
      </w:r>
    </w:p>
    <w:p>
      <w:pPr>
        <w:keepLines/>
        <w:tabs>
          <w:tab w:pos="9360" w:val="right" w:leader="dot"/>
        </w:tabs>
        <w:spacing w:before="0" w:after="50" w:line="240" w:lineRule="auto"/>
      </w:pPr>
      <w:r>
        <w:rPr>
          <w:rFonts w:ascii="Calibri" w:hAnsi="Calibri"/>
          <w:color w:val="1C1A22"/>
          <w:sz w:val="19"/>
        </w:rPr>
        <w:t>4. The drift model</w:t>
      </w:r>
      <w:r>
        <w:rPr>
          <w:rFonts w:ascii="Calibri" w:hAnsi="Calibri"/>
          <w:b/>
          <w:color w:val="686370"/>
          <w:sz w:val="19"/>
        </w:rPr>
        <w:tab/>
        <w:t>8</w:t>
      </w:r>
    </w:p>
    <w:p>
      <w:pPr>
        <w:keepLines/>
        <w:tabs>
          <w:tab w:pos="9360" w:val="right" w:leader="dot"/>
        </w:tabs>
        <w:spacing w:before="0" w:after="50" w:line="240" w:lineRule="auto"/>
      </w:pPr>
      <w:r>
        <w:rPr>
          <w:rFonts w:ascii="Calibri" w:hAnsi="Calibri"/>
          <w:color w:val="1C1A22"/>
          <w:sz w:val="19"/>
        </w:rPr>
        <w:t>5. Boundaries, coupling and relation modes</w:t>
      </w:r>
      <w:r>
        <w:rPr>
          <w:rFonts w:ascii="Calibri" w:hAnsi="Calibri"/>
          <w:b/>
          <w:color w:val="686370"/>
          <w:sz w:val="19"/>
        </w:rPr>
        <w:tab/>
        <w:t>10</w:t>
      </w:r>
    </w:p>
    <w:p>
      <w:pPr>
        <w:keepLines/>
        <w:tabs>
          <w:tab w:pos="9360" w:val="right" w:leader="dot"/>
        </w:tabs>
        <w:spacing w:before="0" w:after="50" w:line="240" w:lineRule="auto"/>
      </w:pPr>
      <w:r>
        <w:rPr>
          <w:rFonts w:ascii="Calibri" w:hAnsi="Calibri"/>
          <w:color w:val="1C1A22"/>
          <w:sz w:val="19"/>
        </w:rPr>
        <w:t>6. Phase offset and quantisation</w:t>
      </w:r>
      <w:r>
        <w:rPr>
          <w:rFonts w:ascii="Calibri" w:hAnsi="Calibri"/>
          <w:b/>
          <w:color w:val="686370"/>
          <w:sz w:val="19"/>
        </w:rPr>
        <w:tab/>
        <w:t>12</w:t>
      </w:r>
    </w:p>
    <w:p>
      <w:pPr>
        <w:keepLines/>
        <w:tabs>
          <w:tab w:pos="9360" w:val="right" w:leader="dot"/>
        </w:tabs>
        <w:spacing w:before="0" w:after="50" w:line="240" w:lineRule="auto"/>
      </w:pPr>
      <w:r>
        <w:rPr>
          <w:rFonts w:ascii="Calibri" w:hAnsi="Calibri"/>
          <w:color w:val="1C1A22"/>
          <w:sz w:val="19"/>
        </w:rPr>
        <w:t>7. Scheduling model and timing accuracy</w:t>
      </w:r>
      <w:r>
        <w:rPr>
          <w:rFonts w:ascii="Calibri" w:hAnsi="Calibri"/>
          <w:b/>
          <w:color w:val="686370"/>
          <w:sz w:val="19"/>
        </w:rPr>
        <w:tab/>
        <w:t>12</w:t>
      </w:r>
    </w:p>
    <w:p>
      <w:pPr>
        <w:keepLines/>
        <w:tabs>
          <w:tab w:pos="9360" w:val="right" w:leader="dot"/>
        </w:tabs>
        <w:spacing w:before="0" w:after="50" w:line="240" w:lineRule="auto"/>
      </w:pPr>
      <w:r>
        <w:rPr>
          <w:rFonts w:ascii="Calibri" w:hAnsi="Calibri"/>
          <w:color w:val="1C1A22"/>
          <w:sz w:val="19"/>
        </w:rPr>
        <w:t>8. Audio graph and voice lifecycle</w:t>
      </w:r>
      <w:r>
        <w:rPr>
          <w:rFonts w:ascii="Calibri" w:hAnsi="Calibri"/>
          <w:b/>
          <w:color w:val="686370"/>
          <w:sz w:val="19"/>
        </w:rPr>
        <w:tab/>
        <w:t>14</w:t>
      </w:r>
    </w:p>
    <w:p>
      <w:pPr>
        <w:keepLines/>
        <w:tabs>
          <w:tab w:pos="9360" w:val="right" w:leader="dot"/>
        </w:tabs>
        <w:spacing w:before="0" w:after="50" w:line="240" w:lineRule="auto"/>
      </w:pPr>
      <w:r>
        <w:rPr>
          <w:rFonts w:ascii="Calibri" w:hAnsi="Calibri"/>
          <w:color w:val="1C1A22"/>
          <w:sz w:val="19"/>
        </w:rPr>
        <w:t>9. Master effects architecture</w:t>
      </w:r>
      <w:r>
        <w:rPr>
          <w:rFonts w:ascii="Calibri" w:hAnsi="Calibri"/>
          <w:b/>
          <w:color w:val="686370"/>
          <w:sz w:val="19"/>
        </w:rPr>
        <w:tab/>
        <w:t>14</w:t>
      </w:r>
    </w:p>
    <w:p>
      <w:pPr>
        <w:keepLines/>
        <w:tabs>
          <w:tab w:pos="9360" w:val="right" w:leader="dot"/>
        </w:tabs>
        <w:spacing w:before="0" w:after="50" w:line="240" w:lineRule="auto"/>
      </w:pPr>
      <w:r>
        <w:rPr>
          <w:rFonts w:ascii="Calibri" w:hAnsi="Calibri"/>
          <w:color w:val="1C1A22"/>
          <w:sz w:val="19"/>
        </w:rPr>
        <w:t>10. Transport and stop semantics</w:t>
      </w:r>
      <w:r>
        <w:rPr>
          <w:rFonts w:ascii="Calibri" w:hAnsi="Calibri"/>
          <w:b/>
          <w:color w:val="686370"/>
          <w:sz w:val="19"/>
        </w:rPr>
        <w:tab/>
        <w:t>17</w:t>
      </w:r>
    </w:p>
    <w:p>
      <w:pPr>
        <w:keepLines/>
        <w:tabs>
          <w:tab w:pos="9360" w:val="right" w:leader="dot"/>
        </w:tabs>
        <w:spacing w:before="0" w:after="50" w:line="240" w:lineRule="auto"/>
      </w:pPr>
      <w:r>
        <w:rPr>
          <w:rFonts w:ascii="Calibri" w:hAnsi="Calibri"/>
          <w:color w:val="1C1A22"/>
          <w:sz w:val="19"/>
        </w:rPr>
        <w:t>11. Alignment detection</w:t>
      </w:r>
      <w:r>
        <w:rPr>
          <w:rFonts w:ascii="Calibri" w:hAnsi="Calibri"/>
          <w:b/>
          <w:color w:val="686370"/>
          <w:sz w:val="19"/>
        </w:rPr>
        <w:tab/>
        <w:t>17</w:t>
      </w:r>
    </w:p>
    <w:p>
      <w:pPr>
        <w:keepLines/>
        <w:tabs>
          <w:tab w:pos="9360" w:val="right" w:leader="dot"/>
        </w:tabs>
        <w:spacing w:before="0" w:after="50" w:line="240" w:lineRule="auto"/>
      </w:pPr>
      <w:r>
        <w:rPr>
          <w:rFonts w:ascii="Calibri" w:hAnsi="Calibri"/>
          <w:color w:val="1C1A22"/>
          <w:sz w:val="19"/>
        </w:rPr>
        <w:t>12. Capture, stochastic selection and export</w:t>
      </w:r>
      <w:r>
        <w:rPr>
          <w:rFonts w:ascii="Calibri" w:hAnsi="Calibri"/>
          <w:b/>
          <w:color w:val="686370"/>
          <w:sz w:val="19"/>
        </w:rPr>
        <w:tab/>
        <w:t>18</w:t>
      </w:r>
    </w:p>
    <w:p>
      <w:pPr>
        <w:keepLines/>
        <w:tabs>
          <w:tab w:pos="9360" w:val="right" w:leader="dot"/>
        </w:tabs>
        <w:spacing w:before="0" w:after="50" w:line="240" w:lineRule="auto"/>
      </w:pPr>
      <w:r>
        <w:rPr>
          <w:rFonts w:ascii="Calibri" w:hAnsi="Calibri"/>
          <w:color w:val="1C1A22"/>
          <w:sz w:val="19"/>
        </w:rPr>
        <w:t>13. Visualisation</w:t>
      </w:r>
      <w:r>
        <w:rPr>
          <w:rFonts w:ascii="Calibri" w:hAnsi="Calibri"/>
          <w:b/>
          <w:color w:val="686370"/>
          <w:sz w:val="19"/>
        </w:rPr>
        <w:tab/>
        <w:t>20</w:t>
      </w:r>
    </w:p>
    <w:p>
      <w:pPr>
        <w:keepLines/>
        <w:tabs>
          <w:tab w:pos="9360" w:val="right" w:leader="dot"/>
        </w:tabs>
        <w:spacing w:before="0" w:after="50" w:line="240" w:lineRule="auto"/>
      </w:pPr>
      <w:r>
        <w:rPr>
          <w:rFonts w:ascii="Calibri" w:hAnsi="Calibri"/>
          <w:color w:val="1C1A22"/>
          <w:sz w:val="19"/>
        </w:rPr>
        <w:t>14. Resource use and runtime behaviour</w:t>
      </w:r>
      <w:r>
        <w:rPr>
          <w:rFonts w:ascii="Calibri" w:hAnsi="Calibri"/>
          <w:b/>
          <w:color w:val="686370"/>
          <w:sz w:val="19"/>
        </w:rPr>
        <w:tab/>
        <w:t>20</w:t>
      </w:r>
    </w:p>
    <w:p>
      <w:pPr>
        <w:keepLines/>
        <w:tabs>
          <w:tab w:pos="9360" w:val="right" w:leader="dot"/>
        </w:tabs>
        <w:spacing w:before="0" w:after="50" w:line="240" w:lineRule="auto"/>
      </w:pPr>
      <w:r>
        <w:rPr>
          <w:rFonts w:ascii="Calibri" w:hAnsi="Calibri"/>
          <w:color w:val="1C1A22"/>
          <w:sz w:val="19"/>
        </w:rPr>
        <w:t>15. Browser boundary, security and privacy</w:t>
      </w:r>
      <w:r>
        <w:rPr>
          <w:rFonts w:ascii="Calibri" w:hAnsi="Calibri"/>
          <w:b/>
          <w:color w:val="686370"/>
          <w:sz w:val="19"/>
        </w:rPr>
        <w:tab/>
        <w:t>20</w:t>
      </w:r>
    </w:p>
    <w:p>
      <w:pPr>
        <w:keepLines/>
        <w:tabs>
          <w:tab w:pos="9360" w:val="right" w:leader="dot"/>
        </w:tabs>
        <w:spacing w:before="0" w:after="50" w:line="240" w:lineRule="auto"/>
      </w:pPr>
      <w:r>
        <w:rPr>
          <w:rFonts w:ascii="Calibri" w:hAnsi="Calibri"/>
          <w:color w:val="1C1A22"/>
          <w:sz w:val="19"/>
        </w:rPr>
        <w:t>16. Interpretation as a compositional system</w:t>
      </w:r>
      <w:r>
        <w:rPr>
          <w:rFonts w:ascii="Calibri" w:hAnsi="Calibri"/>
          <w:b/>
          <w:color w:val="686370"/>
          <w:sz w:val="19"/>
        </w:rPr>
        <w:tab/>
        <w:t>21</w:t>
      </w:r>
    </w:p>
    <w:p>
      <w:pPr>
        <w:keepLines/>
        <w:tabs>
          <w:tab w:pos="9360" w:val="right" w:leader="dot"/>
        </w:tabs>
        <w:spacing w:before="0" w:after="50" w:line="240" w:lineRule="auto"/>
      </w:pPr>
      <w:r>
        <w:rPr>
          <w:rFonts w:ascii="Calibri" w:hAnsi="Calibri"/>
          <w:color w:val="1C1A22"/>
          <w:sz w:val="19"/>
        </w:rPr>
        <w:t>17. Limitations of version 1.0.0</w:t>
      </w:r>
      <w:r>
        <w:rPr>
          <w:rFonts w:ascii="Calibri" w:hAnsi="Calibri"/>
          <w:b/>
          <w:color w:val="686370"/>
          <w:sz w:val="19"/>
        </w:rPr>
        <w:tab/>
        <w:t>21</w:t>
      </w:r>
    </w:p>
    <w:p>
      <w:pPr>
        <w:keepLines/>
        <w:tabs>
          <w:tab w:pos="9360" w:val="right" w:leader="dot"/>
        </w:tabs>
        <w:spacing w:before="0" w:after="50" w:line="240" w:lineRule="auto"/>
      </w:pPr>
      <w:r>
        <w:rPr>
          <w:rFonts w:ascii="Calibri" w:hAnsi="Calibri"/>
          <w:color w:val="1C1A22"/>
          <w:sz w:val="19"/>
        </w:rPr>
        <w:t>18. Engineering roadmap</w:t>
      </w:r>
      <w:r>
        <w:rPr>
          <w:rFonts w:ascii="Calibri" w:hAnsi="Calibri"/>
          <w:b/>
          <w:color w:val="686370"/>
          <w:sz w:val="19"/>
        </w:rPr>
        <w:tab/>
        <w:t>21</w:t>
      </w:r>
    </w:p>
    <w:p>
      <w:pPr>
        <w:keepLines/>
        <w:tabs>
          <w:tab w:pos="9360" w:val="right" w:leader="dot"/>
        </w:tabs>
        <w:spacing w:before="0" w:after="50" w:line="240" w:lineRule="auto"/>
      </w:pPr>
      <w:r>
        <w:rPr>
          <w:rFonts w:ascii="Calibri" w:hAnsi="Calibri"/>
          <w:color w:val="1C1A22"/>
          <w:sz w:val="19"/>
        </w:rPr>
        <w:t>19. Conclusion</w:t>
      </w:r>
      <w:r>
        <w:rPr>
          <w:rFonts w:ascii="Calibri" w:hAnsi="Calibri"/>
          <w:b/>
          <w:color w:val="686370"/>
          <w:sz w:val="19"/>
        </w:rPr>
        <w:tab/>
        <w:t>22</w:t>
      </w:r>
    </w:p>
    <w:p>
      <w:pPr>
        <w:keepLines/>
        <w:tabs>
          <w:tab w:pos="9360" w:val="right" w:leader="dot"/>
        </w:tabs>
        <w:spacing w:before="0" w:after="50" w:line="240" w:lineRule="auto"/>
      </w:pPr>
      <w:r>
        <w:rPr>
          <w:rFonts w:ascii="Calibri" w:hAnsi="Calibri"/>
          <w:color w:val="1C1A22"/>
          <w:sz w:val="19"/>
        </w:rPr>
        <w:t>Appendix A: Principal parameter ranges</w:t>
      </w:r>
      <w:r>
        <w:rPr>
          <w:rFonts w:ascii="Calibri" w:hAnsi="Calibri"/>
          <w:b/>
          <w:color w:val="686370"/>
          <w:sz w:val="19"/>
        </w:rPr>
        <w:tab/>
        <w:t>23</w:t>
      </w:r>
    </w:p>
    <w:p>
      <w:pPr>
        <w:keepLines/>
        <w:tabs>
          <w:tab w:pos="9360" w:val="right" w:leader="dot"/>
        </w:tabs>
        <w:spacing w:before="0" w:after="50" w:line="240" w:lineRule="auto"/>
      </w:pPr>
      <w:r>
        <w:rPr>
          <w:rFonts w:ascii="Calibri" w:hAnsi="Calibri"/>
          <w:color w:val="1C1A22"/>
          <w:sz w:val="19"/>
        </w:rPr>
        <w:t>Appendix B: Built-in material library</w:t>
      </w:r>
      <w:r>
        <w:rPr>
          <w:rFonts w:ascii="Calibri" w:hAnsi="Calibri"/>
          <w:b/>
          <w:color w:val="686370"/>
          <w:sz w:val="19"/>
        </w:rPr>
        <w:tab/>
        <w:t>24</w:t>
      </w:r>
    </w:p>
    <w:p>
      <w:pPr>
        <w:keepLines/>
        <w:tabs>
          <w:tab w:pos="9360" w:val="right" w:leader="dot"/>
        </w:tabs>
        <w:spacing w:before="0" w:after="50" w:line="240" w:lineRule="auto"/>
      </w:pPr>
      <w:r>
        <w:rPr>
          <w:rFonts w:ascii="Calibri" w:hAnsi="Calibri"/>
          <w:color w:val="1C1A22"/>
          <w:sz w:val="19"/>
        </w:rPr>
        <w:t>Appendix C: Preset definitions</w:t>
      </w:r>
      <w:r>
        <w:rPr>
          <w:rFonts w:ascii="Calibri" w:hAnsi="Calibri"/>
          <w:b/>
          <w:color w:val="686370"/>
          <w:sz w:val="19"/>
        </w:rPr>
        <w:tab/>
        <w:t>25</w:t>
      </w:r>
    </w:p>
    <w:p>
      <w:pPr>
        <w:keepLines/>
        <w:tabs>
          <w:tab w:pos="9360" w:val="right" w:leader="dot"/>
        </w:tabs>
        <w:spacing w:before="0" w:after="50" w:line="240" w:lineRule="auto"/>
      </w:pPr>
      <w:r>
        <w:rPr>
          <w:rFonts w:ascii="Calibri" w:hAnsi="Calibri"/>
          <w:color w:val="1C1A22"/>
          <w:sz w:val="19"/>
        </w:rPr>
        <w:t>References</w:t>
      </w:r>
      <w:r>
        <w:rPr>
          <w:rFonts w:ascii="Calibri" w:hAnsi="Calibri"/>
          <w:b/>
          <w:color w:val="686370"/>
          <w:sz w:val="19"/>
        </w:rPr>
        <w:tab/>
        <w:t>26</w:t>
      </w:r>
    </w:p>
    <w:p>
      <w:r>
        <w:br w:type="page"/>
      </w:r>
    </w:p>
    <w:p>
      <w:pPr>
        <w:pStyle w:val="Heading1"/>
      </w:pPr>
      <w:r>
        <w:t>1. System purpose</w:t>
      </w:r>
    </w:p>
    <w:p>
      <w:r>
        <w:t>DriftGrid exists to make phase relationships composable. Phase music — material repeating at slightly different rates until it moves through every possible alignment and returns — is trivial to describe and difficult to work with. A recording of the technique is fixed. A live performance of it is demanding and unrepeatable. A software recreation of one particular piece is a demonstration rather than an instrument. The design objective of DriftGrid is the fourth option: a system in which drift is a set of parameters that can be shaped, bounded, coupled and captured, and in which the composer works with the process rather than with a single instance of it.</w:t>
      </w:r>
    </w:p>
    <w:p>
      <w:r>
        <w:t>Five design commitments follow from that objective:</w:t>
      </w:r>
    </w:p>
    <w:p>
      <w:pPr>
        <w:pStyle w:val="ListBullet"/>
      </w:pPr>
      <w:r>
        <w:t>Drift is parametric, not fixed. The rate of divergence, the axis along which it occurs, and the distance permitted before it reverses are all continuously variable and independently settable per part.</w:t>
      </w:r>
    </w:p>
    <w:p>
      <w:pPr>
        <w:pStyle w:val="ListBullet"/>
      </w:pPr>
      <w:r>
        <w:t>Divergence is bounded by default. A part that drifts without limit passes through every phase relationship exactly once and is thereafter unremarkable. A part that turns around at a boundary revisits a region of phase space repeatedly, which is compositionally far more useful.</w:t>
      </w:r>
    </w:p>
    <w:p>
      <w:pPr>
        <w:pStyle w:val="ListBullet"/>
      </w:pPr>
      <w:r>
        <w:t>Parts may be coupled. Independent drift is one behaviour among several. Parts that are pulled toward each other, pushed apart, or made to orbit produce classes of motion that free-running drift cannot.</w:t>
      </w:r>
    </w:p>
    <w:p>
      <w:pPr>
        <w:pStyle w:val="ListBullet"/>
      </w:pPr>
      <w:r>
        <w:t>The grid remains available. Continuous phase displacement and discrete metrical placement are treated as endpoints of one control, not as separate modes, so that a composition may occupy any point between them.</w:t>
      </w:r>
    </w:p>
    <w:p>
      <w:pPr>
        <w:pStyle w:val="ListBullet"/>
      </w:pPr>
      <w:r>
        <w:t>The system captures its own output. Emergent alignments are transient and unpredictable; requiring the composer to anticipate them defeats the purpose of a generative process.</w:t>
      </w:r>
    </w:p>
    <w:p>
      <w:r>
        <w:t>Several non-goals follow. DriftGrid is not a digital audio workstation: it has no arrangement timeline, no automation lanes and no mixdown of arbitrary length. It is not a sampler: loop material is either user-supplied whole or synthesised internally, and there is no editing of source audio. It is not a recreation of any particular composition, though several presets are shaped by well-known process pieces. It does not attempt to model tape machines, mechanical instruments or performers, except insofar as the tape delay deliberately introduces the pitch instability characteristic of a physical loop.</w:t>
      </w:r>
    </w:p>
    <w:p>
      <w:pPr>
        <w:pStyle w:val="Heading1"/>
      </w:pPr>
      <w:r>
        <w:t>2. Architectural overview</w:t>
      </w:r>
    </w:p>
    <w:p>
      <w:r>
        <w:t>DriftGrid is a single HTML document containing its own styles, markup and logic, with no build step, no package dependencies and no network requests at runtime. It operates entirely within the browser sandbox on the Web Audio API. The complete application is approximately 100 kB of source.</w:t>
      </w:r>
    </w:p>
    <w:p>
      <w:r>
        <w:t>The system divides into seven functional layers:</w:t>
      </w:r>
    </w:p>
    <w:tbl>
      <w:tblPr>
        <w:tblW w:type="auto" w:w="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Layout w:type="fixed"/>
        <w:tblLook w:firstColumn="1" w:firstRow="1" w:lastColumn="0" w:lastRow="0" w:noHBand="0" w:noVBand="1" w:val="04A0"/>
      </w:tblPr>
      <w:tblGrid>
        <w:gridCol w:w="4680"/>
        <w:gridCol w:w="4680"/>
      </w:tblGrid>
      <w:tr>
        <w:trPr>
          <w:cantSplit/>
          <w:tblHeader w:val="true"/>
        </w:trPr>
        <w:tc>
          <w:tcPr>
            <w:tcW w:type="dxa" w:w="2608"/>
            <w:shd w:fill="F2F4F7"/>
            <w:vAlign w:val="center"/>
          </w:tcPr>
          <w:p>
            <w:pPr>
              <w:spacing w:before="0" w:after="0"/>
            </w:pPr>
            <w:r>
              <w:rPr>
                <w:rFonts w:ascii="Calibri" w:hAnsi="Calibri"/>
                <w:b/>
                <w:color w:val="1C1A22"/>
                <w:sz w:val="19"/>
              </w:rPr>
              <w:t>Layer</w:t>
            </w:r>
          </w:p>
        </w:tc>
        <w:tc>
          <w:tcPr>
            <w:tcW w:type="dxa" w:w="6576"/>
            <w:shd w:fill="F2F4F7"/>
            <w:vAlign w:val="center"/>
          </w:tcPr>
          <w:p>
            <w:pPr>
              <w:spacing w:before="0" w:after="0"/>
            </w:pPr>
            <w:r>
              <w:rPr>
                <w:rFonts w:ascii="Calibri" w:hAnsi="Calibri"/>
                <w:b/>
                <w:color w:val="1C1A22"/>
                <w:sz w:val="19"/>
              </w:rPr>
              <w:t>Responsibility</w:t>
            </w:r>
          </w:p>
        </w:tc>
      </w:tr>
      <w:tr>
        <w:tc>
          <w:tcPr>
            <w:tcW w:type="dxa" w:w="2608"/>
            <w:vAlign w:val="center"/>
          </w:tcPr>
          <w:p>
            <w:pPr>
              <w:spacing w:before="0" w:after="0"/>
            </w:pPr>
            <w:r>
              <w:rPr>
                <w:rFonts w:ascii="Calibri" w:hAnsi="Calibri"/>
                <w:b w:val="0"/>
                <w:color w:val="1C1A22"/>
                <w:sz w:val="19"/>
              </w:rPr>
              <w:t>Material</w:t>
            </w:r>
          </w:p>
        </w:tc>
        <w:tc>
          <w:tcPr>
            <w:tcW w:type="dxa" w:w="6576"/>
            <w:vAlign w:val="center"/>
          </w:tcPr>
          <w:p>
            <w:pPr>
              <w:spacing w:before="0" w:after="0"/>
            </w:pPr>
            <w:r>
              <w:rPr>
                <w:rFonts w:ascii="Calibri" w:hAnsi="Calibri"/>
                <w:b w:val="0"/>
                <w:color w:val="1C1A22"/>
                <w:sz w:val="19"/>
              </w:rPr>
              <w:t>Decoding user-supplied audio, and offline synthesis of the fifteen built-in loop generators from a seeded random source.</w:t>
            </w:r>
          </w:p>
        </w:tc>
      </w:tr>
      <w:tr>
        <w:tc>
          <w:tcPr>
            <w:tcW w:type="dxa" w:w="2608"/>
            <w:vAlign w:val="center"/>
          </w:tcPr>
          <w:p>
            <w:pPr>
              <w:spacing w:before="0" w:after="0"/>
            </w:pPr>
            <w:r>
              <w:rPr>
                <w:rFonts w:ascii="Calibri" w:hAnsi="Calibri"/>
                <w:b w:val="0"/>
                <w:color w:val="1C1A22"/>
                <w:sz w:val="19"/>
              </w:rPr>
              <w:t>Drift model</w:t>
            </w:r>
          </w:p>
        </w:tc>
        <w:tc>
          <w:tcPr>
            <w:tcW w:type="dxa" w:w="6576"/>
            <w:vAlign w:val="center"/>
          </w:tcPr>
          <w:p>
            <w:pPr>
              <w:spacing w:before="0" w:after="0"/>
            </w:pPr>
            <w:r>
              <w:rPr>
                <w:rFonts w:ascii="Calibri" w:hAnsi="Calibri"/>
                <w:b w:val="0"/>
                <w:color w:val="1C1A22"/>
                <w:sz w:val="19"/>
              </w:rPr>
              <w:t>Computing, per cycle and per part, the signed deviation to be applied to rate, length or read position, subject to boundary and coupling rules.</w:t>
            </w:r>
          </w:p>
        </w:tc>
      </w:tr>
      <w:tr>
        <w:tc>
          <w:tcPr>
            <w:tcW w:type="dxa" w:w="2608"/>
            <w:vAlign w:val="center"/>
          </w:tcPr>
          <w:p>
            <w:pPr>
              <w:spacing w:before="0" w:after="0"/>
            </w:pPr>
            <w:r>
              <w:rPr>
                <w:rFonts w:ascii="Calibri" w:hAnsi="Calibri"/>
                <w:b w:val="0"/>
                <w:color w:val="1C1A22"/>
                <w:sz w:val="19"/>
              </w:rPr>
              <w:t>Scheduler</w:t>
            </w:r>
          </w:p>
        </w:tc>
        <w:tc>
          <w:tcPr>
            <w:tcW w:type="dxa" w:w="6576"/>
            <w:vAlign w:val="center"/>
          </w:tcPr>
          <w:p>
            <w:pPr>
              <w:spacing w:before="0" w:after="0"/>
            </w:pPr>
            <w:r>
              <w:rPr>
                <w:rFonts w:ascii="Calibri" w:hAnsi="Calibri"/>
                <w:b w:val="0"/>
                <w:color w:val="1C1A22"/>
                <w:sz w:val="19"/>
              </w:rPr>
              <w:t>Look-ahead scheduling of buffer sources against the AudioContext clock, applying quantisation to onsets without disturbing the drift accumulator.</w:t>
            </w:r>
          </w:p>
        </w:tc>
      </w:tr>
      <w:tr>
        <w:tc>
          <w:tcPr>
            <w:tcW w:type="dxa" w:w="2608"/>
            <w:vAlign w:val="center"/>
          </w:tcPr>
          <w:p>
            <w:pPr>
              <w:spacing w:before="0" w:after="0"/>
            </w:pPr>
            <w:r>
              <w:rPr>
                <w:rFonts w:ascii="Calibri" w:hAnsi="Calibri"/>
                <w:b w:val="0"/>
                <w:color w:val="1C1A22"/>
                <w:sz w:val="19"/>
              </w:rPr>
              <w:t>Audio graph</w:t>
            </w:r>
          </w:p>
        </w:tc>
        <w:tc>
          <w:tcPr>
            <w:tcW w:type="dxa" w:w="6576"/>
            <w:vAlign w:val="center"/>
          </w:tcPr>
          <w:p>
            <w:pPr>
              <w:spacing w:before="0" w:after="0"/>
            </w:pPr>
            <w:r>
              <w:rPr>
                <w:rFonts w:ascii="Calibri" w:hAnsi="Calibri"/>
                <w:b w:val="0"/>
                <w:color w:val="1C1A22"/>
                <w:sz w:val="19"/>
              </w:rPr>
              <w:t>Per-part gain and pan, the summing bus, the master effects chain, the fade stage and the output compressor.</w:t>
            </w:r>
          </w:p>
        </w:tc>
      </w:tr>
      <w:tr>
        <w:tc>
          <w:tcPr>
            <w:tcW w:type="dxa" w:w="2608"/>
            <w:vAlign w:val="center"/>
          </w:tcPr>
          <w:p>
            <w:pPr>
              <w:spacing w:before="0" w:after="0"/>
            </w:pPr>
            <w:r>
              <w:rPr>
                <w:rFonts w:ascii="Calibri" w:hAnsi="Calibri"/>
                <w:b w:val="0"/>
                <w:color w:val="1C1A22"/>
                <w:sz w:val="19"/>
              </w:rPr>
              <w:t>Observation</w:t>
            </w:r>
          </w:p>
        </w:tc>
        <w:tc>
          <w:tcPr>
            <w:tcW w:type="dxa" w:w="6576"/>
            <w:vAlign w:val="center"/>
          </w:tcPr>
          <w:p>
            <w:pPr>
              <w:spacing w:before="0" w:after="0"/>
            </w:pPr>
            <w:r>
              <w:rPr>
                <w:rFonts w:ascii="Calibri" w:hAnsi="Calibri"/>
                <w:b w:val="0"/>
                <w:color w:val="1C1A22"/>
                <w:sz w:val="19"/>
              </w:rPr>
              <w:t>Continuous phase measurement, alignment scoring, motion estimation and the rolling post-effects capture buffer.</w:t>
            </w:r>
          </w:p>
        </w:tc>
      </w:tr>
      <w:tr>
        <w:tc>
          <w:tcPr>
            <w:tcW w:type="dxa" w:w="2608"/>
            <w:vAlign w:val="center"/>
          </w:tcPr>
          <w:p>
            <w:pPr>
              <w:spacing w:before="0" w:after="0"/>
            </w:pPr>
            <w:r>
              <w:rPr>
                <w:rFonts w:ascii="Calibri" w:hAnsi="Calibri"/>
                <w:b w:val="0"/>
                <w:color w:val="1C1A22"/>
                <w:sz w:val="19"/>
              </w:rPr>
              <w:t>Capture</w:t>
            </w:r>
          </w:p>
        </w:tc>
        <w:tc>
          <w:tcPr>
            <w:tcW w:type="dxa" w:w="6576"/>
            <w:vAlign w:val="center"/>
          </w:tcPr>
          <w:p>
            <w:pPr>
              <w:spacing w:before="0" w:after="0"/>
            </w:pPr>
            <w:r>
              <w:rPr>
                <w:rFonts w:ascii="Calibri" w:hAnsi="Calibri"/>
                <w:b w:val="0"/>
                <w:color w:val="1C1A22"/>
                <w:sz w:val="19"/>
              </w:rPr>
              <w:t>Automatic alignment capture, weighted stochastic capture, manual capture and timed export, all encoding to RIFF WAVE.</w:t>
            </w:r>
          </w:p>
        </w:tc>
      </w:tr>
      <w:tr>
        <w:tc>
          <w:tcPr>
            <w:tcW w:type="dxa" w:w="2608"/>
            <w:vAlign w:val="center"/>
          </w:tcPr>
          <w:p>
            <w:pPr>
              <w:spacing w:before="0" w:after="0"/>
            </w:pPr>
            <w:r>
              <w:rPr>
                <w:rFonts w:ascii="Calibri" w:hAnsi="Calibri"/>
                <w:b w:val="0"/>
                <w:color w:val="1C1A22"/>
                <w:sz w:val="19"/>
              </w:rPr>
              <w:t>Interface</w:t>
            </w:r>
          </w:p>
        </w:tc>
        <w:tc>
          <w:tcPr>
            <w:tcW w:type="dxa" w:w="6576"/>
            <w:vAlign w:val="center"/>
          </w:tcPr>
          <w:p>
            <w:pPr>
              <w:spacing w:before="0" w:after="0"/>
            </w:pPr>
            <w:r>
              <w:rPr>
                <w:rFonts w:ascii="Calibri" w:hAnsi="Calibri"/>
                <w:b w:val="0"/>
                <w:color w:val="1C1A22"/>
                <w:sz w:val="19"/>
              </w:rPr>
              <w:t>Parameter controls, the polar phase display, the deviation history plot and the capture list.</w:t>
            </w:r>
          </w:p>
        </w:tc>
      </w:tr>
    </w:tbl>
    <w:p/>
    <w:p>
      <w:r>
        <w:t>The high-level data path is:</w:t>
      </w:r>
    </w:p>
    <w:p>
      <w:pPr>
        <w:pStyle w:val="CodeBlock"/>
      </w:pPr>
      <w:r>
        <w:t>User audio ──► decodeAudioData ──┐</w:t>
      </w:r>
    </w:p>
    <w:p>
      <w:pPr>
        <w:pStyle w:val="CodeBlock"/>
      </w:pPr>
      <w:r>
        <w:t xml:space="preserve">                                 ├──► AudioBuffer (per part)</w:t>
      </w:r>
    </w:p>
    <w:p>
      <w:pPr>
        <w:pStyle w:val="CodeBlock"/>
      </w:pPr>
      <w:r>
        <w:t>Built-in generator ──► Offline ──┘            │</w:t>
      </w:r>
    </w:p>
    <w:p>
      <w:pPr>
        <w:pStyle w:val="CodeBlock"/>
      </w:pPr>
      <w:r>
        <w:t xml:space="preserve">   (seeded RNG)       render                  ▼</w:t>
      </w:r>
    </w:p>
    <w:p>
      <w:pPr>
        <w:pStyle w:val="CodeBlock"/>
      </w:pPr>
      <w:r>
        <w:t xml:space="preserve">                                      Drift model  ◄── coupling, boundary</w:t>
      </w:r>
    </w:p>
    <w:p>
      <w:pPr>
        <w:pStyle w:val="CodeBlock"/>
      </w:pPr>
      <w:r>
        <w:t xml:space="preserve">                                              │</w:t>
      </w:r>
    </w:p>
    <w:p>
      <w:pPr>
        <w:pStyle w:val="CodeBlock"/>
      </w:pPr>
      <w:r>
        <w:t xml:space="preserve">                                              ▼</w:t>
      </w:r>
    </w:p>
    <w:p>
      <w:pPr>
        <w:pStyle w:val="CodeBlock"/>
      </w:pPr>
      <w:r>
        <w:t xml:space="preserve">                              Look-ahead scheduler ──► quantisation</w:t>
      </w:r>
    </w:p>
    <w:p>
      <w:pPr>
        <w:pStyle w:val="CodeBlock"/>
      </w:pPr>
      <w:r>
        <w:t xml:space="preserve">                                              │</w:t>
      </w:r>
    </w:p>
    <w:p>
      <w:pPr>
        <w:pStyle w:val="CodeBlock"/>
      </w:pPr>
      <w:r>
        <w:t xml:space="preserve">                                              ▼</w:t>
      </w:r>
    </w:p>
    <w:p>
      <w:pPr>
        <w:pStyle w:val="CodeBlock"/>
      </w:pPr>
      <w:r>
        <w:t xml:space="preserve">                             AudioBufferSourceNode ──► gain ──► pan</w:t>
      </w:r>
    </w:p>
    <w:p>
      <w:pPr>
        <w:pStyle w:val="CodeBlock"/>
      </w:pPr>
      <w:r>
        <w:t xml:space="preserve">                                              │</w:t>
      </w:r>
    </w:p>
    <w:p>
      <w:pPr>
        <w:pStyle w:val="CodeBlock"/>
      </w:pPr>
      <w:r>
        <w:t xml:space="preserve">                                              ▼</w:t>
      </w:r>
    </w:p>
    <w:p>
      <w:pPr>
        <w:pStyle w:val="CodeBlock"/>
      </w:pPr>
      <w:r>
        <w:t xml:space="preserve">                                        summing bus</w:t>
      </w:r>
    </w:p>
    <w:p>
      <w:pPr>
        <w:pStyle w:val="CodeBlock"/>
      </w:pPr>
      <w:r>
        <w:t xml:space="preserve">                              ┌───────────────┼───────────────┐</w:t>
      </w:r>
    </w:p>
    <w:p>
      <w:pPr>
        <w:pStyle w:val="CodeBlock"/>
      </w:pPr>
      <w:r>
        <w:t xml:space="preserve">                              ▼               ▼               ▼</w:t>
      </w:r>
    </w:p>
    <w:p>
      <w:pPr>
        <w:pStyle w:val="CodeBlock"/>
      </w:pPr>
      <w:r>
        <w:t xml:space="preserve">                            dry          tape delay        room</w:t>
      </w:r>
    </w:p>
    <w:p>
      <w:pPr>
        <w:pStyle w:val="CodeBlock"/>
      </w:pPr>
      <w:r>
        <w:t xml:space="preserve">                              └───────────────┼───────────────┘</w:t>
      </w:r>
    </w:p>
    <w:p>
      <w:pPr>
        <w:pStyle w:val="CodeBlock"/>
      </w:pPr>
      <w:r>
        <w:t xml:space="preserve">                                              ▼</w:t>
      </w:r>
    </w:p>
    <w:p>
      <w:pPr>
        <w:pStyle w:val="CodeBlock"/>
      </w:pPr>
      <w:r>
        <w:t xml:space="preserve">                                       fade ──► output ──► compressor</w:t>
      </w:r>
    </w:p>
    <w:p>
      <w:pPr>
        <w:pStyle w:val="CodeBlock"/>
      </w:pPr>
      <w:r>
        <w:t xml:space="preserve">                                              │</w:t>
      </w:r>
    </w:p>
    <w:p>
      <w:pPr>
        <w:pStyle w:val="CodeBlock"/>
      </w:pPr>
      <w:r>
        <w:t xml:space="preserve">                              ┌───────────────┴───────────────┐</w:t>
      </w:r>
    </w:p>
    <w:p>
      <w:pPr>
        <w:pStyle w:val="CodeBlock"/>
      </w:pPr>
      <w:r>
        <w:t xml:space="preserve">                              ▼                               ▼</w:t>
      </w:r>
    </w:p>
    <w:p>
      <w:pPr>
        <w:pStyle w:val="CodeBlock"/>
      </w:pPr>
      <w:r>
        <w:t xml:space="preserve">                          speakers                    capture tap ──► ring</w:t>
      </w:r>
    </w:p>
    <w:p>
      <w:r>
        <w:t>The audio graph is constructed lazily. No AudioContext is created until the transport is first started, satisfying browser autoplay policy and ensuring that a loaded but unstarted page consumes no audio resources. Effects parameters altered before playback are held in a plain state object and applied at construction.</w:t>
      </w:r>
    </w:p>
    <w:p>
      <w:r>
        <w:t>The capture tap is deliberately placed after the compressor, at the very end of the chain. Every capture and every export therefore contains exactly what was heard, including effects tails and the stop fade. Placing the tap earlier would produce recordings that diverge from the monitored signal in precisely the situations — long reverb decays, fading endings — where fidelity matters most.</w:t>
      </w:r>
    </w:p>
    <w:p>
      <w:r>
        <w:br w:type="page"/>
      </w:r>
    </w:p>
    <w:p>
      <w:pPr>
        <w:pStyle w:val="Heading1"/>
      </w:pPr>
      <w:r>
        <w:t>3. Loop sources and the material library</w:t>
      </w:r>
    </w:p>
    <w:p>
      <w:pPr>
        <w:pStyle w:val="Heading2"/>
      </w:pPr>
      <w:r>
        <w:t>3.1 User-supplied material</w:t>
      </w:r>
    </w:p>
    <w:p>
      <w:r>
        <w:t>Any audio file the browser can decode may be loaded into a part, by file selection or by dropping it onto that part's panel. The file is decoded to an AudioBuffer through decodeAudioData and its full duration is adopted as the part's nominal cycle length. A fit-to-bar operation rounds that cycle to the nearest whole multiple of the current bar, which is normally the only adjustment required to bring recorded material onto the grid.</w:t>
      </w:r>
    </w:p>
    <w:p>
      <w:r>
        <w:t>No analysis, beat detection or time-stretching is performed. This is a deliberate limitation: the system's subject is the relationship between cycles, and inferring an incorrect tempo from source audio would corrupt that relationship in ways difficult for the composer to diagnose.</w:t>
      </w:r>
    </w:p>
    <w:p>
      <w:pPr>
        <w:pStyle w:val="Heading2"/>
      </w:pPr>
      <w:r>
        <w:t>3.2 Built-in generators</w:t>
      </w:r>
    </w:p>
    <w:p>
      <w:r>
        <w:t>Fifteen loop generators are provided. Each renders to an AudioBuffer through an OfflineAudioContext at the exact duration of the current bar, and each is constructed from a small library of voice primitives: a partial-additive struck tone, a band-filtered noise burst, a pitch-swept glide, a short windowed grain, and a sustained tone with slow vibrato.</w:t>
      </w:r>
    </w:p>
    <w:p>
      <w:r>
        <w:t>The generators fall into four behavioural groups: interlocking pattern material, prepared and found sound, mass and cloud textures, and sustained beds. Appendix B lists all fifteen with their construction.</w:t>
      </w:r>
    </w:p>
    <w:p>
      <w:pPr>
        <w:pStyle w:val="Heading2"/>
      </w:pPr>
      <w:r>
        <w:t>3.3 Deterministic rendering</w:t>
      </w:r>
    </w:p>
    <w:p>
      <w:r>
        <w:t>Several generators are stochastic in construction — the grain cloud distributes 150 grains by rejection sampling against an arched density function; the percussion swarm draws 46 events across three timbral classes. If these were rendered from the platform random source, two parts using the same generator would contain different material, and the result of drifting one against the other would be texture, not phase.</w:t>
      </w:r>
    </w:p>
    <w:p>
      <w:r>
        <w:t>All generators therefore draw from a deterministic pseudo-random sequence seeded by a hash of the generator name:</w:t>
      </w:r>
    </w:p>
    <w:p>
      <w:pPr>
        <w:pStyle w:val="Equation"/>
      </w:pPr>
      <w:r>
        <w:t>seed(k) = FNV-1a(k),  x_{n+1} = mulberry32(x_n).</w:t>
      </w:r>
    </w:p>
    <w:p>
      <w:r>
        <w:t>Rendering is consequently a pure function of generator name and duration. Two parts assigned the same generator hold sample-identical buffers, and the audible result of drifting one against the other is genuine phase displacement of a single object rather than the superposition of two similar ones. This is the property that makes stochastic material usable within a phase system at all: a grain cloud drifting against itself is a coherent transformation; a grain cloud drifting against a different grain cloud is noise.</w:t>
      </w:r>
    </w:p>
    <w:p>
      <w:r>
        <w:br w:type="page"/>
      </w:r>
    </w:p>
    <w:p>
      <w:pPr>
        <w:pStyle w:val="Heading1"/>
      </w:pPr>
      <w:r>
        <w:t>4. The drift model</w:t>
      </w:r>
    </w:p>
    <w:p>
      <w:pPr>
        <w:pStyle w:val="Heading2"/>
      </w:pPr>
      <w:r>
        <w:t>4.1 Time base</w:t>
      </w:r>
    </w:p>
    <w:p>
      <w:r>
        <w:t>For a tempo T in beats per minute and a bar of B beats, the bar duration is</w:t>
      </w:r>
    </w:p>
    <w:p>
      <w:pPr>
        <w:pStyle w:val="Equation"/>
      </w:pPr>
      <w:r>
        <w:t>M = (60 · B)/(T) seconds.</w:t>
      </w:r>
    </w:p>
    <w:p>
      <w:r>
        <w:t>M is the grid against which all deviation is measured, and the duration at which built-in generators are rendered. Tempo accepts 30–240 BPM and bar lengths of 1–32 beats.</w:t>
      </w:r>
    </w:p>
    <w:p>
      <w:pPr>
        <w:pStyle w:val="Heading2"/>
      </w:pPr>
      <w:r>
        <w:t>4.2 Cycle duration</w:t>
      </w:r>
    </w:p>
    <w:p>
      <w:r>
        <w:t>Each part i carries a nominal cycle duration D_i (the bar length for built-in material, the file duration for loaded audio) and a length multiplier λ_i ∈ [0.25, 2]. On each cycle the drift model yields a signed dimensionless quantity d_i, applied to exactly one of three targets. Writing ρ_i for the resulting playback rate and μ_i for the resulting length multiplier:</w:t>
      </w:r>
    </w:p>
    <w:p>
      <w:pPr>
        <w:pStyle w:val="Equation"/>
      </w:pPr>
      <w:r>
        <w:t>rate target:    ρ_i = 1 + d_i,   μ_i = 1</w:t>
      </w:r>
    </w:p>
    <w:p>
      <w:pPr>
        <w:pStyle w:val="Equation"/>
      </w:pPr>
      <w:r>
        <w:t>length target:  ρ_i = 1,         μ_i = 1 + d_i</w:t>
      </w:r>
    </w:p>
    <w:p>
      <w:pPr>
        <w:pStyle w:val="Equation"/>
      </w:pPr>
      <w:r>
        <w:t>start target:   ρ_i = 1,         μ_i = 1,  σ_i ← σ_i + d_i · D_i</w:t>
      </w:r>
    </w:p>
    <w:p>
      <w:r>
        <w:t>where σ_i is the read offset into the source buffer. The number of buffer-seconds consumed by the cycle and its duration in real time are then</w:t>
      </w:r>
    </w:p>
    <w:p>
      <w:pPr>
        <w:pStyle w:val="Equation"/>
      </w:pPr>
      <w:r>
        <w:t>B_i = D_i · λ_i · μ_i,     L_i = (B_i)/(ρ_i).</w:t>
      </w:r>
    </w:p>
    <w:p>
      <w:r>
        <w:t>The three targets are audibly distinct. Rate drift shortens the cycle and raises pitch together, as a tape machine would. Length drift alters the cycle without touching pitch, truncating or extending the loop. Start drift leaves both cycle and pitch untouched and instead advances the read head, so that the loop plays progressively later material — the behaviour of a tape loop whose splice point is creeping.</w:t>
      </w:r>
    </w:p>
    <w:p>
      <w:pPr>
        <w:pStyle w:val="Heading2"/>
      </w:pPr>
      <w:r>
        <w:t>4.3 Deviation</w:t>
      </w:r>
    </w:p>
    <w:p>
      <w:r>
        <w:t>Let the transport have begun at t_0 and let the part's current cycle begin at t. Define the fractional wrap</w:t>
      </w:r>
    </w:p>
    <w:p>
      <w:pPr>
        <w:pStyle w:val="Equation"/>
      </w:pPr>
      <w:r>
        <w:t>w(x) = (x − ⌊x⌋) − [x − ⌊x⌋ &gt; ½],   w(x) ∈ [−½, ½).</w:t>
      </w:r>
    </w:p>
    <w:p>
      <w:r>
        <w:t>The control deviation δ_i is then defined so that positive drift always increases it, irrespective of target:</w:t>
      </w:r>
    </w:p>
    <w:p>
      <w:pPr>
        <w:pStyle w:val="Equation"/>
      </w:pPr>
      <w:r>
        <w:t>rate:    δ_i = −w((t − t_0)/M)</w:t>
      </w:r>
    </w:p>
    <w:p>
      <w:pPr>
        <w:pStyle w:val="Equation"/>
      </w:pPr>
      <w:r>
        <w:t>length:  δ_i = +w((t − t_0)/M)</w:t>
      </w:r>
    </w:p>
    <w:p>
      <w:pPr>
        <w:pStyle w:val="Equation"/>
      </w:pPr>
      <w:r>
        <w:t>start:   δ_i = w(σ_i / D_i)</w:t>
      </w:r>
    </w:p>
    <w:p>
      <w:r>
        <w:t>The sign inversion for the length target is required because a positive d lengthens the cycle and therefore causes the part to lag, whereas the same positive d under the rate target shortens the cycle and causes it to lead. Normalising the sign at this point allows the boundary and coupling rules to be written once and applied to all three targets.</w:t>
      </w:r>
    </w:p>
    <w:p>
      <w:r>
        <w:t>For the start target the deviation is not a timing quantity at all: onsets remain locked to the grid and what moves is the read position. Measuring the creep instead of the onset is what allows boundaries and coupling to operate meaningfully in that mode.</w:t>
      </w:r>
    </w:p>
    <w:p>
      <w:r>
        <w:t>Deviation is evaluated inside the scheduler, at the moment each cycle is scheduled, rather than in the animation loop. This matters in practice: requestAnimationFrame is throttled or suspended in a background tab, and a control law fed from it would silently cease to bound its parts while the audio continued.</w:t>
      </w:r>
    </w:p>
    <w:p>
      <w:r>
        <w:br w:type="page"/>
      </w:r>
    </w:p>
    <w:p>
      <w:pPr>
        <w:pStyle w:val="Heading1"/>
      </w:pPr>
      <w:r>
        <w:t>5. Boundaries, coupling and relation modes</w:t>
      </w:r>
    </w:p>
    <w:p>
      <w:pPr>
        <w:pStyle w:val="Heading2"/>
      </w:pPr>
      <w:r>
        <w:t>5.1 The boundary</w:t>
      </w:r>
    </w:p>
    <w:p>
      <w:r>
        <w:t>Each part carries a boundary β_i ∈ [0.01, 0.5] expressed as a fraction of a cycle. Where |δ_i| ≥ β_i the drift direction is reversed:</w:t>
      </w:r>
    </w:p>
    <w:p>
      <w:pPr>
        <w:pStyle w:val="Equation"/>
      </w:pPr>
      <w:r>
        <w:t>sgn(a_i) ← −sgn(δ_i)</w:t>
      </w:r>
    </w:p>
    <w:p>
      <w:r>
        <w:t>with a_i the part's signed drift magnitude. At β = 0.5 the boundary is disabled and the part free-runs, passing through the full phase cycle and returning to unison after</w:t>
      </w:r>
    </w:p>
    <w:p>
      <w:pPr>
        <w:pStyle w:val="Equation"/>
      </w:pPr>
      <w:r>
        <w:t>N = (1)/(|d|) cycles.</w:t>
      </w:r>
    </w:p>
    <w:p>
      <w:r>
        <w:t>For the canonical case of a 0.35% rate drift against a two-second bar, N ≈ 287 cycles, giving a complete phase revolution in approximately 9 minutes 32 seconds and a first arrival at maximum displacement — the two parts exactly out of phase — at approximately 4 minutes 46 seconds. A twelve-event pattern advances by one event roughly every 48 seconds, which is the characteristic rate of the technique.</w:t>
      </w:r>
    </w:p>
    <w:p>
      <w:pPr>
        <w:pStyle w:val="Heading2"/>
      </w:pPr>
      <w:r>
        <w:t>5.2 Relation modes</w:t>
      </w:r>
    </w:p>
    <w:p>
      <w:r>
        <w:t>Four modes govern how d_i is computed. Writing a_i for the part's signed drift magnitude scaled by the global drift multiplier, κ for the coupling coefficient and δ_i for the control deviation:</w:t>
      </w:r>
    </w:p>
    <w:tbl>
      <w:tblPr>
        <w:tblW w:type="auto" w:w="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Layout w:type="fixed"/>
        <w:tblLook w:firstColumn="1" w:firstRow="1" w:lastColumn="0" w:lastRow="0" w:noHBand="0" w:noVBand="1" w:val="04A0"/>
      </w:tblPr>
      <w:tblGrid>
        <w:gridCol w:w="3120"/>
        <w:gridCol w:w="3120"/>
        <w:gridCol w:w="3120"/>
      </w:tblGrid>
      <w:tr>
        <w:trPr>
          <w:cantSplit/>
          <w:tblHeader w:val="true"/>
        </w:trPr>
        <w:tc>
          <w:tcPr>
            <w:tcW w:type="dxa" w:w="1361"/>
            <w:shd w:fill="F2F4F7"/>
            <w:vAlign w:val="center"/>
          </w:tcPr>
          <w:p>
            <w:pPr>
              <w:spacing w:before="0" w:after="0"/>
            </w:pPr>
            <w:r>
              <w:rPr>
                <w:rFonts w:ascii="Calibri" w:hAnsi="Calibri"/>
                <w:b/>
                <w:color w:val="1C1A22"/>
                <w:sz w:val="19"/>
              </w:rPr>
              <w:t>Mode</w:t>
            </w:r>
          </w:p>
        </w:tc>
        <w:tc>
          <w:tcPr>
            <w:tcW w:type="dxa" w:w="3061"/>
            <w:shd w:fill="F2F4F7"/>
            <w:vAlign w:val="center"/>
          </w:tcPr>
          <w:p>
            <w:pPr>
              <w:spacing w:before="0" w:after="0"/>
            </w:pPr>
            <w:r>
              <w:rPr>
                <w:rFonts w:ascii="Calibri" w:hAnsi="Calibri"/>
                <w:b/>
                <w:color w:val="1C1A22"/>
                <w:sz w:val="19"/>
              </w:rPr>
              <w:t>Law</w:t>
            </w:r>
          </w:p>
        </w:tc>
        <w:tc>
          <w:tcPr>
            <w:tcW w:type="dxa" w:w="4762"/>
            <w:shd w:fill="F2F4F7"/>
            <w:vAlign w:val="center"/>
          </w:tcPr>
          <w:p>
            <w:pPr>
              <w:spacing w:before="0" w:after="0"/>
            </w:pPr>
            <w:r>
              <w:rPr>
                <w:rFonts w:ascii="Calibri" w:hAnsi="Calibri"/>
                <w:b/>
                <w:color w:val="1C1A22"/>
                <w:sz w:val="19"/>
              </w:rPr>
              <w:t>Behaviour</w:t>
            </w:r>
          </w:p>
        </w:tc>
      </w:tr>
      <w:tr>
        <w:tc>
          <w:tcPr>
            <w:tcW w:type="dxa" w:w="1361"/>
            <w:vAlign w:val="center"/>
          </w:tcPr>
          <w:p>
            <w:pPr>
              <w:spacing w:before="0" w:after="0"/>
            </w:pPr>
            <w:r>
              <w:rPr>
                <w:rFonts w:ascii="Calibri" w:hAnsi="Calibri"/>
                <w:b w:val="0"/>
                <w:color w:val="1C1A22"/>
                <w:sz w:val="19"/>
              </w:rPr>
              <w:t>Free</w:t>
            </w:r>
          </w:p>
        </w:tc>
        <w:tc>
          <w:tcPr>
            <w:tcW w:type="dxa" w:w="3061"/>
            <w:vAlign w:val="center"/>
          </w:tcPr>
          <w:p>
            <w:pPr>
              <w:spacing w:before="0" w:after="0"/>
            </w:pPr>
            <w:r>
              <w:rPr>
                <w:rFonts w:ascii="Calibri" w:hAnsi="Calibri"/>
                <w:b w:val="0"/>
                <w:color w:val="1C1A22"/>
                <w:sz w:val="19"/>
              </w:rPr>
              <w:t>d = a</w:t>
            </w:r>
          </w:p>
        </w:tc>
        <w:tc>
          <w:tcPr>
            <w:tcW w:type="dxa" w:w="4762"/>
            <w:vAlign w:val="center"/>
          </w:tcPr>
          <w:p>
            <w:pPr>
              <w:spacing w:before="0" w:after="0"/>
            </w:pPr>
            <w:r>
              <w:rPr>
                <w:rFonts w:ascii="Calibri" w:hAnsi="Calibri"/>
                <w:b w:val="0"/>
                <w:color w:val="1C1A22"/>
                <w:sz w:val="19"/>
              </w:rPr>
              <w:t>Independent drift, reversing at the boundary. Parts have no knowledge of one another.</w:t>
            </w:r>
          </w:p>
        </w:tc>
      </w:tr>
      <w:tr>
        <w:tc>
          <w:tcPr>
            <w:tcW w:type="dxa" w:w="1361"/>
            <w:vAlign w:val="center"/>
          </w:tcPr>
          <w:p>
            <w:pPr>
              <w:spacing w:before="0" w:after="0"/>
            </w:pPr>
            <w:r>
              <w:rPr>
                <w:rFonts w:ascii="Calibri" w:hAnsi="Calibri"/>
                <w:b w:val="0"/>
                <w:color w:val="1C1A22"/>
                <w:sz w:val="19"/>
              </w:rPr>
              <w:t>Converge</w:t>
            </w:r>
          </w:p>
        </w:tc>
        <w:tc>
          <w:tcPr>
            <w:tcW w:type="dxa" w:w="3061"/>
            <w:vAlign w:val="center"/>
          </w:tcPr>
          <w:p>
            <w:pPr>
              <w:spacing w:before="0" w:after="0"/>
            </w:pPr>
            <w:r>
              <w:rPr>
                <w:rFonts w:ascii="Calibri" w:hAnsi="Calibri"/>
                <w:b w:val="0"/>
                <w:color w:val="1C1A22"/>
                <w:sz w:val="19"/>
              </w:rPr>
              <w:t>d = 0.1a − κδ</w:t>
            </w:r>
          </w:p>
        </w:tc>
        <w:tc>
          <w:tcPr>
            <w:tcW w:type="dxa" w:w="4762"/>
            <w:vAlign w:val="center"/>
          </w:tcPr>
          <w:p>
            <w:pPr>
              <w:spacing w:before="0" w:after="0"/>
            </w:pPr>
            <w:r>
              <w:rPr>
                <w:rFonts w:ascii="Calibri" w:hAnsi="Calibri"/>
                <w:b w:val="0"/>
                <w:color w:val="1C1A22"/>
                <w:sz w:val="19"/>
              </w:rPr>
              <w:t>Proportional pull toward the grid. A stable equilibrium exists off zero, so the part settles close to alignment without locking rigidly to it.</w:t>
            </w:r>
          </w:p>
        </w:tc>
      </w:tr>
      <w:tr>
        <w:tc>
          <w:tcPr>
            <w:tcW w:type="dxa" w:w="1361"/>
            <w:vAlign w:val="center"/>
          </w:tcPr>
          <w:p>
            <w:pPr>
              <w:spacing w:before="0" w:after="0"/>
            </w:pPr>
            <w:r>
              <w:rPr>
                <w:rFonts w:ascii="Calibri" w:hAnsi="Calibri"/>
                <w:b w:val="0"/>
                <w:color w:val="1C1A22"/>
                <w:sz w:val="19"/>
              </w:rPr>
              <w:t>Diverge</w:t>
            </w:r>
          </w:p>
        </w:tc>
        <w:tc>
          <w:tcPr>
            <w:tcW w:type="dxa" w:w="3061"/>
            <w:vAlign w:val="center"/>
          </w:tcPr>
          <w:p>
            <w:pPr>
              <w:spacing w:before="0" w:after="0"/>
            </w:pPr>
            <w:r>
              <w:rPr>
                <w:rFonts w:ascii="Calibri" w:hAnsi="Calibri"/>
                <w:b w:val="0"/>
                <w:color w:val="1C1A22"/>
                <w:sz w:val="19"/>
              </w:rPr>
              <w:t>d = 0.1a + κ(β·sgn δ − δ)</w:t>
            </w:r>
          </w:p>
        </w:tc>
        <w:tc>
          <w:tcPr>
            <w:tcW w:type="dxa" w:w="4762"/>
            <w:vAlign w:val="center"/>
          </w:tcPr>
          <w:p>
            <w:pPr>
              <w:spacing w:before="0" w:after="0"/>
            </w:pPr>
            <w:r>
              <w:rPr>
                <w:rFonts w:ascii="Calibri" w:hAnsi="Calibri"/>
                <w:b w:val="0"/>
                <w:color w:val="1C1A22"/>
                <w:sz w:val="19"/>
              </w:rPr>
              <w:t>Proportional push toward the boundary, treated as an attractor. Parts spread to their limits and hold there.</w:t>
            </w:r>
          </w:p>
        </w:tc>
      </w:tr>
      <w:tr>
        <w:tc>
          <w:tcPr>
            <w:tcW w:type="dxa" w:w="1361"/>
            <w:vAlign w:val="center"/>
          </w:tcPr>
          <w:p>
            <w:pPr>
              <w:spacing w:before="0" w:after="0"/>
            </w:pPr>
            <w:r>
              <w:rPr>
                <w:rFonts w:ascii="Calibri" w:hAnsi="Calibri"/>
                <w:b w:val="0"/>
                <w:color w:val="1C1A22"/>
                <w:sz w:val="19"/>
              </w:rPr>
              <w:t>Orbit</w:t>
            </w:r>
          </w:p>
        </w:tc>
        <w:tc>
          <w:tcPr>
            <w:tcW w:type="dxa" w:w="3061"/>
            <w:vAlign w:val="center"/>
          </w:tcPr>
          <w:p>
            <w:pPr>
              <w:spacing w:before="0" w:after="0"/>
            </w:pPr>
            <w:r>
              <w:rPr>
                <w:rFonts w:ascii="Calibri" w:hAnsi="Calibri"/>
                <w:b w:val="0"/>
                <w:color w:val="1C1A22"/>
                <w:sz w:val="19"/>
              </w:rPr>
              <w:t>d = βωL cos(ωt + φ)</w:t>
            </w:r>
          </w:p>
        </w:tc>
        <w:tc>
          <w:tcPr>
            <w:tcW w:type="dxa" w:w="4762"/>
            <w:vAlign w:val="center"/>
          </w:tcPr>
          <w:p>
            <w:pPr>
              <w:spacing w:before="0" w:after="0"/>
            </w:pPr>
            <w:r>
              <w:rPr>
                <w:rFonts w:ascii="Calibri" w:hAnsi="Calibri"/>
                <w:b w:val="0"/>
                <w:color w:val="1C1A22"/>
                <w:sz w:val="19"/>
              </w:rPr>
              <w:t>Sinusoidal displacement of amplitude exactly β and period 2π/ω. Parts circle the grid and return.</w:t>
            </w:r>
          </w:p>
        </w:tc>
      </w:tr>
    </w:tbl>
    <w:p/>
    <w:p>
      <w:r>
        <w:t>The converge law places its equilibrium where d vanishes:</w:t>
      </w:r>
    </w:p>
    <w:p>
      <w:pPr>
        <w:pStyle w:val="Equation"/>
      </w:pPr>
      <w:r>
        <w:t>δ* = (0.1 a)/(κ).</w:t>
      </w:r>
    </w:p>
    <w:p>
      <w:r>
        <w:t>The residual term is proportional to the part's own drift setting, which produces a useful behaviour: lightly drifting parts converge almost to unison, while restless ones settle further out. At a coupling of 0.018 a part drifting at 0.2% settles about 1% from the grid, one drifting at 1% settles about 6%, and one at 3% about 17%. Convergence is therefore graded rather than absolute, and the ensemble retains internal motion after it has resolved.</w:t>
      </w:r>
    </w:p>
    <w:p>
      <w:r>
        <w:t>The diverge law is written as attraction toward the boundary rather than as simple repulsion from the grid. Naive repulsion is unstable: deviation grows without limit, wraps at ±½, and the part then chatters about the wrap point. Treating the boundary as the target yields a well-behaved equilibrium at the edge of the permitted region.</w:t>
      </w:r>
    </w:p>
    <w:p>
      <w:r>
        <w:t>In orbit mode the boundary is reinterpreted as an orbital radius. Since deviation accumulates at d per cycle, obtaining a displacement of β sin(ωt) requires</w:t>
      </w:r>
    </w:p>
    <w:p>
      <w:pPr>
        <w:pStyle w:val="Equation"/>
      </w:pPr>
      <w:r>
        <w:t>d = β ω L cos(ωt + φ),</w:t>
      </w:r>
    </w:p>
    <w:p>
      <w:r>
        <w:t>with L the part's cycle duration. Amplitude is then exactly β independent of tempo or cycle length, and the boundary control retains a consistent meaning across all four modes. Parts are assigned evenly spaced orbital phases φ so that an ensemble circles the grid in formation.</w:t>
      </w:r>
    </w:p>
    <w:p>
      <w:r>
        <w:br w:type="page"/>
      </w:r>
    </w:p>
    <w:p>
      <w:pPr>
        <w:pStyle w:val="Heading1"/>
      </w:pPr>
      <w:r>
        <w:t>6. Phase offset and quantisation</w:t>
      </w:r>
    </w:p>
    <w:p>
      <w:pPr>
        <w:pStyle w:val="Heading2"/>
      </w:pPr>
      <w:r>
        <w:t>6.1 Fixed and fluctuating offset</w:t>
      </w:r>
    </w:p>
    <w:p>
      <w:r>
        <w:t>Each part carries a static phase offset θ_i ∈ [−0.5, 0.5] applied as a displacement of its scheduled onset by θ_i D_i seconds. Where fluctuation is enabled, an additional slow sinusoid is superimposed:</w:t>
      </w:r>
    </w:p>
    <w:p>
      <w:pPr>
        <w:pStyle w:val="Equation"/>
      </w:pPr>
      <w:r>
        <w:t>Δt_i = θ_i D_i + A_i D_i sin(2π f_i (t − t_0) + ψ_i),</w:t>
      </w:r>
    </w:p>
    <w:p>
      <w:r>
        <w:t>with rate f_i ∈ [0.005, 0.5] Hz, depth A_i ∈ [0, 0.25] cycles, and ψ_i a fixed per-part seed ensuring parts do not fluctuate in lockstep. Fluctuation is a displacement rather than a rate change: it does not accumulate, and a fluctuating part remains where the drift model places it while breathing about that position.</w:t>
      </w:r>
    </w:p>
    <w:p>
      <w:pPr>
        <w:pStyle w:val="Heading2"/>
      </w:pPr>
      <w:r>
        <w:t>6.2 Quantisation</w:t>
      </w:r>
    </w:p>
    <w:p>
      <w:r>
        <w:t>The quantisation stage is the mechanism by which continuous and discrete phase displacement are unified. Let g = M/n be the grid interval for subdivision n ∈ {1, 2, 3, 4, 6, 8, 12, 16} and let τ be the drifted, offset onset time. The scheduled onset is</w:t>
      </w:r>
    </w:p>
    <w:p>
      <w:pPr>
        <w:pStyle w:val="Equation"/>
      </w:pPr>
      <w:r>
        <w:t>τ' = τ + s · (t_0 + g·round((τ − t_0)/g) − τ),   s ∈ [0,1].</w:t>
      </w:r>
    </w:p>
    <w:p>
      <w:r>
        <w:t>The essential property is that τ' is used only to schedule the audible event. The drift accumulator advances by L_i from the unquantised nominal time, and is never written back from the quantised value. Drift therefore proceeds exactly as it would with quantisation disabled, while onsets are drawn toward the metrical grid in proportion to s.</w:t>
      </w:r>
    </w:p>
    <w:p>
      <w:r>
        <w:t>At s = 0 the system phases continuously. At s = 1 onsets land only on grid positions, and the accumulating drift expresses itself as discrete jumps from one subdivision to the next — the part holds its position, then steps. Intermediate values produce onsets that lag behind and catch up with the grid in a manner with no obvious acoustic precedent.</w:t>
      </w:r>
    </w:p>
    <w:p>
      <w:r>
        <w:t>The inclusion of subdivisions of 3, 6 and 12 alongside the powers of two is necessary for triple-metre material. The twelve-eighth clapping cell requires a subdivision of 12 against a twelve-beat bar for its displacement to step by exactly one event.</w:t>
      </w:r>
    </w:p>
    <w:p>
      <w:pPr>
        <w:pStyle w:val="Heading1"/>
      </w:pPr>
      <w:r>
        <w:t>7. Scheduling model and timing accuracy</w:t>
      </w:r>
    </w:p>
    <w:p>
      <w:r>
        <w:t>Audio events are scheduled by a look-ahead scheduler using the standard Web Audio pattern: a low-frequency interval timer performs scheduling work, while all timing is expressed against the AudioContext sample clock. The timer runs at 40 ms and schedules 280 ms ahead.</w:t>
      </w:r>
    </w:p>
    <w:p>
      <w:r>
        <w:t>For each part the scheduler advances while the next nominal onset falls within the look-ahead window. Each iteration computes the control deviation, applies the boundary reversal, evaluates the relation law, derives rate and length, applies offset and quantisation, and dispatches the buffer sources. The nominal accumulator then advances by the unquantised cycle duration.</w:t>
      </w:r>
    </w:p>
    <w:p>
      <w:pPr>
        <w:pStyle w:val="CodeBlock"/>
      </w:pPr>
      <w:r>
        <w:t>while (nextStart &lt; now + LOOKAHEAD) {</w:t>
      </w:r>
    </w:p>
    <w:p>
      <w:pPr>
        <w:pStyle w:val="CodeBlock"/>
      </w:pPr>
      <w:r>
        <w:t xml:space="preserve">    devCtl   = signed deviation for this cycle</w:t>
      </w:r>
    </w:p>
    <w:p>
      <w:pPr>
        <w:pStyle w:val="CodeBlock"/>
      </w:pPr>
      <w:r>
        <w:t xml:space="preserve">    boundary reversal if |devCtl| &gt;= boundary</w:t>
      </w:r>
    </w:p>
    <w:p>
      <w:pPr>
        <w:pStyle w:val="CodeBlock"/>
      </w:pPr>
      <w:r>
        <w:t xml:space="preserve">    d        = relationLaw(mode, devCtl, t)</w:t>
      </w:r>
    </w:p>
    <w:p>
      <w:pPr>
        <w:pStyle w:val="CodeBlock"/>
      </w:pPr>
      <w:r>
        <w:t xml:space="preserve">    rate     = target == rate   ? 1 + d : 1</w:t>
      </w:r>
    </w:p>
    <w:p>
      <w:pPr>
        <w:pStyle w:val="CodeBlock"/>
      </w:pPr>
      <w:r>
        <w:t xml:space="preserve">    lenMul   = target == length ? 1 + d : 1</w:t>
      </w:r>
    </w:p>
    <w:p>
      <w:pPr>
        <w:pStyle w:val="CodeBlock"/>
      </w:pPr>
      <w:r>
        <w:t xml:space="preserve">    bufSecs  = D * lambda * lenMul</w:t>
      </w:r>
    </w:p>
    <w:p>
      <w:pPr>
        <w:pStyle w:val="CodeBlock"/>
      </w:pPr>
      <w:r>
        <w:t xml:space="preserve">    realDur  = bufSecs / rate</w:t>
      </w:r>
    </w:p>
    <w:p>
      <w:pPr>
        <w:pStyle w:val="CodeBlock"/>
      </w:pPr>
      <w:r>
        <w:t xml:space="preserve">    onset    = nextStart + offset + fluctuation</w:t>
      </w:r>
    </w:p>
    <w:p>
      <w:pPr>
        <w:pStyle w:val="CodeBlock"/>
      </w:pPr>
      <w:r>
        <w:t xml:space="preserve">    onset    = lerp(onset, snapToGrid(onset), quantStrength)</w:t>
      </w:r>
    </w:p>
    <w:p>
      <w:pPr>
        <w:pStyle w:val="CodeBlock"/>
      </w:pPr>
      <w:r>
        <w:t xml:space="preserve">    playPortion(onset, readOffset, bufSecs, rate)</w:t>
      </w:r>
    </w:p>
    <w:p>
      <w:pPr>
        <w:pStyle w:val="CodeBlock"/>
      </w:pPr>
      <w:r>
        <w:t xml:space="preserve">    nextStart += realDur          // unquantised</w:t>
      </w:r>
    </w:p>
    <w:p>
      <w:pPr>
        <w:pStyle w:val="CodeBlock"/>
      </w:pPr>
      <w:r>
        <w:t>}</w:t>
      </w:r>
    </w:p>
    <w:p>
      <w:r>
        <w:t>Because all onsets are expressed as absolute AudioContext times, timing accuracy is that of the audio clock and is unaffected by main-thread jitter, garbage collection or rendering load. Should the tab be suspended and the accumulator fall behind the current time, it is advanced to the present with a small guard interval rather than replaying a backlog of missed cycles.</w:t>
      </w:r>
    </w:p>
    <w:p>
      <w:r>
        <w:t>An iteration guard limits the scheduler to sixteen cycles per part per pass, bounding the work performed in any single tick when a very short cycle is combined with an extreme rate.</w:t>
      </w:r>
    </w:p>
    <w:p>
      <w:pPr>
        <w:pStyle w:val="Heading2"/>
      </w:pPr>
      <w:r>
        <w:t>7.1 Buffer portion playback</w:t>
      </w:r>
    </w:p>
    <w:p>
      <w:r>
        <w:t>A cycle does not in general align with the source buffer. Under the start target the read offset advances continuously, and under the length target the requested extent may exceed the buffer. The playback routine therefore emits a portion of arbitrary offset and length, splitting across the buffer boundary and wrapping as required:</w:t>
      </w:r>
    </w:p>
    <w:p>
      <w:pPr>
        <w:pStyle w:val="CodeBlock"/>
      </w:pPr>
      <w:r>
        <w:t>playPortion(when, offset, length, rate):</w:t>
      </w:r>
    </w:p>
    <w:p>
      <w:pPr>
        <w:pStyle w:val="CodeBlock"/>
      </w:pPr>
      <w:r>
        <w:t xml:space="preserve">    offset = offset mod D</w:t>
      </w:r>
    </w:p>
    <w:p>
      <w:pPr>
        <w:pStyle w:val="CodeBlock"/>
      </w:pPr>
      <w:r>
        <w:t xml:space="preserve">    while (length &gt; 0):</w:t>
      </w:r>
    </w:p>
    <w:p>
      <w:pPr>
        <w:pStyle w:val="CodeBlock"/>
      </w:pPr>
      <w:r>
        <w:t xml:space="preserve">        seg = min(length, D - offset)</w:t>
      </w:r>
    </w:p>
    <w:p>
      <w:pPr>
        <w:pStyle w:val="CodeBlock"/>
      </w:pPr>
      <w:r>
        <w:t xml:space="preserve">        spawn(when, offset, seg, rate)</w:t>
      </w:r>
    </w:p>
    <w:p>
      <w:pPr>
        <w:pStyle w:val="CodeBlock"/>
      </w:pPr>
      <w:r>
        <w:t xml:space="preserve">        when   += seg / rate</w:t>
      </w:r>
    </w:p>
    <w:p>
      <w:pPr>
        <w:pStyle w:val="CodeBlock"/>
      </w:pPr>
      <w:r>
        <w:t xml:space="preserve">        length -= seg</w:t>
      </w:r>
    </w:p>
    <w:p>
      <w:pPr>
        <w:pStyle w:val="CodeBlock"/>
      </w:pPr>
      <w:r>
        <w:t xml:space="preserve">        offset  = 0</w:t>
      </w:r>
    </w:p>
    <w:p>
      <w:r>
        <w:t>Each spawned source is given a short raised envelope, of 5 ms or one sixth of the segment duration, whichever is shorter, to suppress discontinuities at truncation points and wrap seams. Sources are stopped shortly after their natural end and disconnected on the ended event.</w:t>
      </w:r>
    </w:p>
    <w:p>
      <w:r>
        <w:br w:type="page"/>
      </w:r>
    </w:p>
    <w:p>
      <w:pPr>
        <w:pStyle w:val="Heading1"/>
      </w:pPr>
      <w:r>
        <w:t>8. Audio graph and voice lifecycle</w:t>
      </w:r>
    </w:p>
    <w:p>
      <w:r>
        <w:t>Each part owns a persistent gain and stereo panner pair connected to the summing bus. Buffer sources are transient: created at schedule time, connected through a per-source envelope gain to the part's gain node, and released on completion. Mute and solo are resolved at the part gain with a short time constant rather than by disconnection, so that changes are click-free and reversible mid-cycle.</w:t>
      </w:r>
    </w:p>
    <w:p>
      <w:r>
        <w:t>The summing bus feeds three parallel paths — dry, delay send and room send — which recombine at the effects sum. That sum passes through the fade stage, the output gain and a compressor before reaching the destination and the capture tap.</w:t>
      </w:r>
    </w:p>
    <w:tbl>
      <w:tblPr>
        <w:tblW w:type="auto" w:w="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Layout w:type="fixed"/>
        <w:tblLook w:firstColumn="1" w:firstRow="1" w:lastColumn="0" w:lastRow="0" w:noHBand="0" w:noVBand="1" w:val="04A0"/>
      </w:tblPr>
      <w:tblGrid>
        <w:gridCol w:w="4680"/>
        <w:gridCol w:w="4680"/>
      </w:tblGrid>
      <w:tr>
        <w:trPr>
          <w:cantSplit/>
          <w:tblHeader w:val="true"/>
        </w:trPr>
        <w:tc>
          <w:tcPr>
            <w:tcW w:type="dxa" w:w="2608"/>
            <w:shd w:fill="F2F4F7"/>
            <w:vAlign w:val="center"/>
          </w:tcPr>
          <w:p>
            <w:pPr>
              <w:spacing w:before="0" w:after="0"/>
            </w:pPr>
            <w:r>
              <w:rPr>
                <w:rFonts w:ascii="Calibri" w:hAnsi="Calibri"/>
                <w:b/>
                <w:color w:val="1C1A22"/>
                <w:sz w:val="19"/>
              </w:rPr>
              <w:t>Stage</w:t>
            </w:r>
          </w:p>
        </w:tc>
        <w:tc>
          <w:tcPr>
            <w:tcW w:type="dxa" w:w="6576"/>
            <w:shd w:fill="F2F4F7"/>
            <w:vAlign w:val="center"/>
          </w:tcPr>
          <w:p>
            <w:pPr>
              <w:spacing w:before="0" w:after="0"/>
            </w:pPr>
            <w:r>
              <w:rPr>
                <w:rFonts w:ascii="Calibri" w:hAnsi="Calibri"/>
                <w:b/>
                <w:color w:val="1C1A22"/>
                <w:sz w:val="19"/>
              </w:rPr>
              <w:t>Function</w:t>
            </w:r>
          </w:p>
        </w:tc>
      </w:tr>
      <w:tr>
        <w:tc>
          <w:tcPr>
            <w:tcW w:type="dxa" w:w="2608"/>
            <w:vAlign w:val="center"/>
          </w:tcPr>
          <w:p>
            <w:pPr>
              <w:spacing w:before="0" w:after="0"/>
            </w:pPr>
            <w:r>
              <w:rPr>
                <w:rFonts w:ascii="Calibri" w:hAnsi="Calibri"/>
                <w:b w:val="0"/>
                <w:color w:val="1C1A22"/>
                <w:sz w:val="19"/>
              </w:rPr>
              <w:t>Part gain / pan</w:t>
            </w:r>
          </w:p>
        </w:tc>
        <w:tc>
          <w:tcPr>
            <w:tcW w:type="dxa" w:w="6576"/>
            <w:vAlign w:val="center"/>
          </w:tcPr>
          <w:p>
            <w:pPr>
              <w:spacing w:before="0" w:after="0"/>
            </w:pPr>
            <w:r>
              <w:rPr>
                <w:rFonts w:ascii="Calibri" w:hAnsi="Calibri"/>
                <w:b w:val="0"/>
                <w:color w:val="1C1A22"/>
                <w:sz w:val="19"/>
              </w:rPr>
              <w:t>Level and stereo position; mute and solo resolution.</w:t>
            </w:r>
          </w:p>
        </w:tc>
      </w:tr>
      <w:tr>
        <w:tc>
          <w:tcPr>
            <w:tcW w:type="dxa" w:w="2608"/>
            <w:vAlign w:val="center"/>
          </w:tcPr>
          <w:p>
            <w:pPr>
              <w:spacing w:before="0" w:after="0"/>
            </w:pPr>
            <w:r>
              <w:rPr>
                <w:rFonts w:ascii="Calibri" w:hAnsi="Calibri"/>
                <w:b w:val="0"/>
                <w:color w:val="1C1A22"/>
                <w:sz w:val="19"/>
              </w:rPr>
              <w:t>Summing bus</w:t>
            </w:r>
          </w:p>
        </w:tc>
        <w:tc>
          <w:tcPr>
            <w:tcW w:type="dxa" w:w="6576"/>
            <w:vAlign w:val="center"/>
          </w:tcPr>
          <w:p>
            <w:pPr>
              <w:spacing w:before="0" w:after="0"/>
            </w:pPr>
            <w:r>
              <w:rPr>
                <w:rFonts w:ascii="Calibri" w:hAnsi="Calibri"/>
                <w:b w:val="0"/>
                <w:color w:val="1C1A22"/>
                <w:sz w:val="19"/>
              </w:rPr>
              <w:t>Unity-gain sum of all parts; the source for all three effect paths.</w:t>
            </w:r>
          </w:p>
        </w:tc>
      </w:tr>
      <w:tr>
        <w:tc>
          <w:tcPr>
            <w:tcW w:type="dxa" w:w="2608"/>
            <w:vAlign w:val="center"/>
          </w:tcPr>
          <w:p>
            <w:pPr>
              <w:spacing w:before="0" w:after="0"/>
            </w:pPr>
            <w:r>
              <w:rPr>
                <w:rFonts w:ascii="Calibri" w:hAnsi="Calibri"/>
                <w:b w:val="0"/>
                <w:color w:val="1C1A22"/>
                <w:sz w:val="19"/>
              </w:rPr>
              <w:t>Effects sum</w:t>
            </w:r>
          </w:p>
        </w:tc>
        <w:tc>
          <w:tcPr>
            <w:tcW w:type="dxa" w:w="6576"/>
            <w:vAlign w:val="center"/>
          </w:tcPr>
          <w:p>
            <w:pPr>
              <w:spacing w:before="0" w:after="0"/>
            </w:pPr>
            <w:r>
              <w:rPr>
                <w:rFonts w:ascii="Calibri" w:hAnsi="Calibri"/>
                <w:b w:val="0"/>
                <w:color w:val="1C1A22"/>
                <w:sz w:val="19"/>
              </w:rPr>
              <w:t>Recombination of dry, delay return and room return.</w:t>
            </w:r>
          </w:p>
        </w:tc>
      </w:tr>
      <w:tr>
        <w:tc>
          <w:tcPr>
            <w:tcW w:type="dxa" w:w="2608"/>
            <w:vAlign w:val="center"/>
          </w:tcPr>
          <w:p>
            <w:pPr>
              <w:spacing w:before="0" w:after="0"/>
            </w:pPr>
            <w:r>
              <w:rPr>
                <w:rFonts w:ascii="Calibri" w:hAnsi="Calibri"/>
                <w:b w:val="0"/>
                <w:color w:val="1C1A22"/>
                <w:sz w:val="19"/>
              </w:rPr>
              <w:t>Fade stage</w:t>
            </w:r>
          </w:p>
        </w:tc>
        <w:tc>
          <w:tcPr>
            <w:tcW w:type="dxa" w:w="6576"/>
            <w:vAlign w:val="center"/>
          </w:tcPr>
          <w:p>
            <w:pPr>
              <w:spacing w:before="0" w:after="0"/>
            </w:pPr>
            <w:r>
              <w:rPr>
                <w:rFonts w:ascii="Calibri" w:hAnsi="Calibri"/>
                <w:b w:val="0"/>
                <w:color w:val="1C1A22"/>
                <w:sz w:val="19"/>
              </w:rPr>
              <w:t>Exponential ride-down on stop; unity during playback.</w:t>
            </w:r>
          </w:p>
        </w:tc>
      </w:tr>
      <w:tr>
        <w:tc>
          <w:tcPr>
            <w:tcW w:type="dxa" w:w="2608"/>
            <w:vAlign w:val="center"/>
          </w:tcPr>
          <w:p>
            <w:pPr>
              <w:spacing w:before="0" w:after="0"/>
            </w:pPr>
            <w:r>
              <w:rPr>
                <w:rFonts w:ascii="Calibri" w:hAnsi="Calibri"/>
                <w:b w:val="0"/>
                <w:color w:val="1C1A22"/>
                <w:sz w:val="19"/>
              </w:rPr>
              <w:t>Output gain</w:t>
            </w:r>
          </w:p>
        </w:tc>
        <w:tc>
          <w:tcPr>
            <w:tcW w:type="dxa" w:w="6576"/>
            <w:vAlign w:val="center"/>
          </w:tcPr>
          <w:p>
            <w:pPr>
              <w:spacing w:before="0" w:after="0"/>
            </w:pPr>
            <w:r>
              <w:rPr>
                <w:rFonts w:ascii="Calibri" w:hAnsi="Calibri"/>
                <w:b w:val="0"/>
                <w:color w:val="1C1A22"/>
                <w:sz w:val="19"/>
              </w:rPr>
              <w:t>User-facing output level.</w:t>
            </w:r>
          </w:p>
        </w:tc>
      </w:tr>
      <w:tr>
        <w:tc>
          <w:tcPr>
            <w:tcW w:type="dxa" w:w="2608"/>
            <w:vAlign w:val="center"/>
          </w:tcPr>
          <w:p>
            <w:pPr>
              <w:spacing w:before="0" w:after="0"/>
            </w:pPr>
            <w:r>
              <w:rPr>
                <w:rFonts w:ascii="Calibri" w:hAnsi="Calibri"/>
                <w:b w:val="0"/>
                <w:color w:val="1C1A22"/>
                <w:sz w:val="19"/>
              </w:rPr>
              <w:t>Compressor</w:t>
            </w:r>
          </w:p>
        </w:tc>
        <w:tc>
          <w:tcPr>
            <w:tcW w:type="dxa" w:w="6576"/>
            <w:vAlign w:val="center"/>
          </w:tcPr>
          <w:p>
            <w:pPr>
              <w:spacing w:before="0" w:after="0"/>
            </w:pPr>
            <w:r>
              <w:rPr>
                <w:rFonts w:ascii="Calibri" w:hAnsi="Calibri"/>
                <w:b w:val="0"/>
                <w:color w:val="1C1A22"/>
                <w:sz w:val="19"/>
              </w:rPr>
              <w:t>−14 dB threshold, 3.2:1, 6 ms attack, 220 ms release, 26 dB knee.</w:t>
            </w:r>
          </w:p>
        </w:tc>
      </w:tr>
      <w:tr>
        <w:tc>
          <w:tcPr>
            <w:tcW w:type="dxa" w:w="2608"/>
            <w:vAlign w:val="center"/>
          </w:tcPr>
          <w:p>
            <w:pPr>
              <w:spacing w:before="0" w:after="0"/>
            </w:pPr>
            <w:r>
              <w:rPr>
                <w:rFonts w:ascii="Calibri" w:hAnsi="Calibri"/>
                <w:b w:val="0"/>
                <w:color w:val="1C1A22"/>
                <w:sz w:val="19"/>
              </w:rPr>
              <w:t>Capture tap</w:t>
            </w:r>
          </w:p>
        </w:tc>
        <w:tc>
          <w:tcPr>
            <w:tcW w:type="dxa" w:w="6576"/>
            <w:vAlign w:val="center"/>
          </w:tcPr>
          <w:p>
            <w:pPr>
              <w:spacing w:before="0" w:after="0"/>
            </w:pPr>
            <w:r>
              <w:rPr>
                <w:rFonts w:ascii="Calibri" w:hAnsi="Calibri"/>
                <w:b w:val="0"/>
                <w:color w:val="1C1A22"/>
                <w:sz w:val="19"/>
              </w:rPr>
              <w:t>Post-compressor observation point feeding the rolling buffer and export.</w:t>
            </w:r>
          </w:p>
        </w:tc>
      </w:tr>
    </w:tbl>
    <w:p/>
    <w:p>
      <w:pPr>
        <w:pStyle w:val="Heading1"/>
      </w:pPr>
      <w:r>
        <w:t>9. Master effects architecture</w:t>
      </w:r>
    </w:p>
    <w:p>
      <w:pPr>
        <w:pStyle w:val="Heading2"/>
      </w:pPr>
      <w:r>
        <w:t>9.1 Tape delay</w:t>
      </w:r>
    </w:p>
    <w:p>
      <w:r>
        <w:t>The delay is a ping-pong pair: the send feeds the left line, the left line feeds the right, and the right returns through the feedback path to the left. Successive repeats therefore alternate across the stereo field, with a full circuit occupying twice the nominal delay time.</w:t>
      </w:r>
    </w:p>
    <w:p>
      <w:pPr>
        <w:pStyle w:val="CodeBlock"/>
      </w:pPr>
      <w:r>
        <w:t>send ──► delayL ──┬──► pan L ──┐</w:t>
      </w:r>
    </w:p>
    <w:p>
      <w:pPr>
        <w:pStyle w:val="CodeBlock"/>
      </w:pPr>
      <w:r>
        <w:t xml:space="preserve">   ▲              │            ├──► delay out ──► fx sum</w:t>
      </w:r>
    </w:p>
    <w:p>
      <w:pPr>
        <w:pStyle w:val="CodeBlock"/>
      </w:pPr>
      <w:r>
        <w:t xml:space="preserve">   │              ▼            │           │</w:t>
      </w:r>
    </w:p>
    <w:p>
      <w:pPr>
        <w:pStyle w:val="CodeBlock"/>
      </w:pPr>
      <w:r>
        <w:t xml:space="preserve">   │           delayR ──► pan R┘           └──► room send</w:t>
      </w:r>
    </w:p>
    <w:p>
      <w:pPr>
        <w:pStyle w:val="CodeBlock"/>
      </w:pPr>
      <w:r>
        <w:t xml:space="preserve">   │              │</w:t>
      </w:r>
    </w:p>
    <w:p>
      <w:pPr>
        <w:pStyle w:val="CodeBlock"/>
      </w:pPr>
      <w:r>
        <w:t xml:space="preserve">   │              ▼</w:t>
      </w:r>
    </w:p>
    <w:p>
      <w:pPr>
        <w:pStyle w:val="CodeBlock"/>
      </w:pPr>
      <w:r>
        <w:t xml:space="preserve">   └── fb ◄── HP ◄── LP ◄── makeup ◄── saturator</w:t>
      </w:r>
    </w:p>
    <w:p>
      <w:r>
        <w:t>Delay time is normally locked to a division of the bar. Divisions of 1/1, 1/2, 1/4, 1/8 and 1/16 are provided, each of which may be modified as dotted (×1.5) or triplet (×2/3), together with a free mode exposing a direct millisecond control:</w:t>
      </w:r>
    </w:p>
    <w:p>
      <w:pPr>
        <w:pStyle w:val="Equation"/>
      </w:pPr>
      <w:r>
        <w:t>t_d = M · v · m,   v ∈ {1, ½, ¼, ⅛, 1/16},  m ∈ {1, 3/2, 2/3}.</w:t>
      </w:r>
    </w:p>
    <w:p>
      <w:r>
        <w:t>The delay lines are allocated at sixteen seconds so that a dotted whole-bar division remains exact at slow tempos and long bars. Time changes are applied with a short exponential time constant rather than instantaneously, so that altering the division produces the pitch glide characteristic of a varispeed machine rather than a discontinuity.</w:t>
      </w:r>
    </w:p>
    <w:p>
      <w:r>
        <w:t>Wow and flutter are injected as two oscillators — 0.37 Hz and 6.3 Hz — summed into the delay time parameter of both lines, with depths of 10 ms and 1.2 ms at full setting.</w:t>
      </w:r>
    </w:p>
    <w:p>
      <w:pPr>
        <w:pStyle w:val="Heading3"/>
      </w:pPr>
      <w:r>
        <w:t>9.1.1 Saturation and feedback stability</w:t>
      </w:r>
    </w:p>
    <w:p>
      <w:r>
        <w:t>A hyperbolic-tangent shaper within the feedback path provides tape-like compression of repeats. The normalised curve</w:t>
      </w:r>
    </w:p>
    <w:p>
      <w:pPr>
        <w:pStyle w:val="Equation"/>
      </w:pPr>
      <w:r>
        <w:t>f(x) = (tanh(k x))/(tanh k),   k = 1 + 6·drive,</w:t>
      </w:r>
    </w:p>
    <w:p>
      <w:r>
        <w:t>has small-signal gain k/tanh k, which is greater than unity for all k &gt; 0 and would therefore multiply the loop gain of the feedback path — at a drive of 0.5 by a factor of four, causing the delay to self-oscillate at feedback settings well below the maximum. A compensating gain</w:t>
      </w:r>
    </w:p>
    <w:p>
      <w:pPr>
        <w:pStyle w:val="Equation"/>
      </w:pPr>
      <w:r>
        <w:t>g = (tanh k)/(k)</w:t>
      </w:r>
    </w:p>
    <w:p>
      <w:r>
        <w:t>is applied immediately after the shaper. Loop gain is then exactly the feedback coefficient for every drive setting, while peak response falls from 0.76 at zero drive to 0.14 at maximum. Drive consequently alters the character of the repeats without altering the stability of the loop, and the feedback control means what it says at every position.</w:t>
      </w:r>
    </w:p>
    <w:p>
      <w:pPr>
        <w:pStyle w:val="Heading2"/>
      </w:pPr>
      <w:r>
        <w:t>9.2 Room</w:t>
      </w:r>
    </w:p>
    <w:p>
      <w:r>
        <w:t>Ambience is provided by convolution against an impulse generated at runtime. The impulse is white noise shaped by an exponential envelope, passed through two cascaded one-pole low-pass sections whose coefficients follow the damping control, with seven sparse early reflections and a 6 ms fade at its onset.</w:t>
      </w:r>
    </w:p>
    <w:p>
      <w:r>
        <w:t>The impulse is normalised to unit energy rather than to peak amplitude:</w:t>
      </w:r>
    </w:p>
    <w:p>
      <w:pPr>
        <w:pStyle w:val="Equation"/>
      </w:pPr>
      <w:r>
        <w:t>g = (1)/(√(Σ_n h[n]²)),   subject to  max|g·h| ≤ 0.35.</w:t>
      </w:r>
    </w:p>
    <w:p>
      <w:r>
        <w:t>This is a consequential choice. Peak normalisation makes the perceived level of a convolution reverb depend on its length, since a longer impulse of the same peak carries far more energy; and it is unstable in the presence of sparse early reflections, whose amplitude is not represented by a peak measured before they are inserted. Energy normalisation makes the return level invariant under changes of room size, so that size becomes purely a control of space rather than a control of both space and loudness.</w:t>
      </w:r>
    </w:p>
    <w:p>
      <w:r>
        <w:t>The wet return is additionally filtered: a high-pass at 130–220 Hz keeps the room clear of the low register, and a low-pass swept from 15 kHz to 1.8 kHz by the damping control closes the tail down. Damping therefore acts twice, on the impulse and on the return. A fixed trim of 0.62 is applied to the return so that a fully open send sits below unity against the dry signal.</w:t>
      </w:r>
    </w:p>
    <w:p>
      <w:r>
        <w:t>The delay output is routed into the room send as well as to the sum, at a coefficient of 0.3, so that long repeats acquire increasing ambience as they decay.</w:t>
      </w:r>
    </w:p>
    <w:p>
      <w:r>
        <w:br w:type="page"/>
      </w:r>
    </w:p>
    <w:p>
      <w:pPr>
        <w:pStyle w:val="Heading1"/>
      </w:pPr>
      <w:r>
        <w:t>10. Transport and stop semantics</w:t>
      </w:r>
    </w:p>
    <w:p>
      <w:r>
        <w:t>Starting the transport resets every part's accumulator, drift direction, read offset and history to a common origin, and establishes t_0 a short interval in the future so that the first cycle of every part is scheduled rather than played immediately.</w:t>
      </w:r>
    </w:p>
    <w:p>
      <w:r>
        <w:t>Stopping does not silence the system. A single press initiates an exponential ride-down of the fade stage over a user-selected interval of 3 to 60 seconds:</w:t>
      </w:r>
    </w:p>
    <w:p>
      <w:pPr>
        <w:pStyle w:val="Equation"/>
      </w:pPr>
      <w:r>
        <w:t>G(t) = exp( ln(ε) · (t − t_s)/(F) ),  ε = 10⁻⁴.</w:t>
      </w:r>
    </w:p>
    <w:p>
      <w:r>
        <w:t>The scheduler continues to run throughout, so parts keep drifting as they disappear and the ensemble is in a different phase relationship at the end of the fade than at its start. A second press during the fade terminates it immediately. On completion the fade stage is held closed rather than reopened, so that delay and room tails do not ring back up; it is reopened only on the next start.</w:t>
      </w:r>
    </w:p>
    <w:p>
      <w:r>
        <w:t>Because the fade stage precedes the capture tap, the fade is present in every recording made across it.</w:t>
      </w:r>
    </w:p>
    <w:p>
      <w:pPr>
        <w:pStyle w:val="Heading1"/>
      </w:pPr>
      <w:r>
        <w:t>11. Alignment detection</w:t>
      </w:r>
    </w:p>
    <w:p>
      <w:r>
        <w:t>The system scores the alignment of the ensemble continuously at approximately 16 Hz. For the set A of parts that are audible and loaded, and with φ_i the position of part i within its current cycle, the pairwise circular distance is</w:t>
      </w:r>
    </w:p>
    <w:p>
      <w:pPr>
        <w:pStyle w:val="Equation"/>
      </w:pPr>
      <w:r>
        <w:t>d_{ij} = |w(φ_i − φ_j)| ∈ [0, ½].</w:t>
      </w:r>
    </w:p>
    <w:p>
      <w:r>
        <w:t>Two detectors are provided. The unison detector scores proximity to coincidence:</w:t>
      </w:r>
    </w:p>
    <w:p>
      <w:pPr>
        <w:pStyle w:val="Equation"/>
      </w:pPr>
      <w:r>
        <w:t>S = 1 − (2)/(|A|(|A|−1)) Σ_{i&lt;j} (d_{ij})/(½).</w:t>
      </w:r>
    </w:p>
    <w:p>
      <w:r>
        <w:t>The ratio detector scores proximity to the nearest simple rational relationship, taking r over the folded set {0, ¼, ⅓, ½}:</w:t>
      </w:r>
    </w:p>
    <w:p>
      <w:pPr>
        <w:pStyle w:val="Equation"/>
      </w:pPr>
      <w:r>
        <w:t>S = 1 − (2)/(|A|(|A|−1)) Σ_{i&lt;j} (min_r |d_{ij} − r|)/(¼).</w:t>
      </w:r>
    </w:p>
    <w:p>
      <w:r>
        <w:t>The ratio detector is the more useful of the two for material with internal subdivision, where parts a third or a quarter of a cycle apart interlock rather than merely coincide, and where strict unison may be the least interesting available relationship.</w:t>
      </w:r>
    </w:p>
    <w:p>
      <w:r>
        <w:t>An alignment event begins when S exceeds the threshold and ends when it falls more than 0.04 below it, the hysteresis preventing rapid re-triggering at the margin. Events shorter than a minimum hold are discarded; events longer than 40 seconds are closed to bound capture length.</w:t>
      </w:r>
    </w:p>
    <w:p>
      <w:r>
        <w:br w:type="page"/>
      </w:r>
    </w:p>
    <w:p>
      <w:pPr>
        <w:pStyle w:val="Heading1"/>
      </w:pPr>
      <w:r>
        <w:t>12. Capture, stochastic selection and export</w:t>
      </w:r>
    </w:p>
    <w:p>
      <w:pPr>
        <w:pStyle w:val="Heading2"/>
      </w:pPr>
      <w:r>
        <w:t>12.1 The rolling buffer</w:t>
      </w:r>
    </w:p>
    <w:p>
      <w:r>
        <w:t>An AudioWorklet processor observes the post-compressor signal and forwards it in 4096-frame blocks to a circular buffer holding 100 seconds of stereo audio at the context sample rate. Where AudioWorklet is unavailable a ScriptProcessor fallback is used, copying each block before hand-off. The worklet buffers internally rather than posting every 128-frame render quantum, reducing message traffic by a factor of thirty-two.</w:t>
      </w:r>
    </w:p>
    <w:p>
      <w:r>
        <w:t>The buffer permits retrospective capture. A request for the interval [t₁, t₂] is resolved against the running sample count and the timestamp of the most recent block, and returned as a pair of channel arrays.</w:t>
      </w:r>
    </w:p>
    <w:p>
      <w:pPr>
        <w:pStyle w:val="Heading2"/>
      </w:pPr>
      <w:r>
        <w:t>12.2 Automatic alignment capture</w:t>
      </w:r>
    </w:p>
    <w:p>
      <w:r>
        <w:t>On the conclusion of a qualifying alignment event, the interval from the event onset less the pre-roll to the event end plus a tail is scheduled for extraction once the tail has elapsed. Pre-roll is user-controlled from 0 to 15 seconds. Because the buffer is retrospective, the approach to an alignment is captured as reliably as the alignment itself, which is generally the more interesting part: the arrival is audible only in relation to the drift that produced it.</w:t>
      </w:r>
    </w:p>
    <w:p>
      <w:pPr>
        <w:pStyle w:val="Heading2"/>
      </w:pPr>
      <w:r>
        <w:t>12.3 Stochastic capture</w:t>
      </w:r>
    </w:p>
    <w:p>
      <w:r>
        <w:t>Automatic capture is deterministic given a threshold, and therefore returns a homogeneous set of near-identical passages. Stochastic capture is provided as a complement. Once per bar a weighted die is rolled:</w:t>
      </w:r>
    </w:p>
    <w:p>
      <w:pPr>
        <w:pStyle w:val="Equation"/>
      </w:pPr>
      <w:r>
        <w:t>p = clamp( P · [ (1 − b) + 2b·I ], 0, 1 ),</w:t>
      </w:r>
    </w:p>
    <w:p>
      <w:r>
        <w:t>where P is the base probability per bar, b the bias amount, and I ∈ [0,1] an interest measure. Where bias is disabled the roll is flat at P. Where it is enabled, I is either the current alignment score or a smoothed estimate of ensemble motion:</w:t>
      </w:r>
    </w:p>
    <w:p>
      <w:pPr>
        <w:pStyle w:val="Equation"/>
      </w:pPr>
      <w:r>
        <w:t>I_motion = ⟨ |w(δ_i(t) − δ_i(t − h))| ⟩_i / c,   h ≈ 60 ms,</w:t>
      </w:r>
    </w:p>
    <w:p>
      <w:r>
        <w:t>exponentially smoothed and normalised by a reference rate c. At I = 0.5 the bias is neutral by construction, so the control raises the odds during interesting passages and lowers them elsewhere without changing the expected yield at the midpoint.</w:t>
      </w:r>
    </w:p>
    <w:p>
      <w:r>
        <w:t>On a hit, a clip of uniformly random length within a user-specified range is extracted retrospectively from the buffer, guaranteeing that the material which triggered the roll is contained within it. A budget bounds the number of clips per session.</w:t>
      </w:r>
    </w:p>
    <w:p>
      <w:r>
        <w:t>Simulation over 400 two-hundred-bar runs at an 18% base probability and a budget of ten confirms the intended behaviour: with bias disabled, captures occur at a mean interest of 0.50, matching the underlying distribution; at 60% bias the mean rises to 0.70; at full bias to 0.77. The budget is respected in all runs. The mechanism therefore skews toward the composer's stated interest without ever becoming deterministic — which is the point, since a rule that always fires at the same moment is not a generative process but a trigger.</w:t>
      </w:r>
    </w:p>
    <w:p>
      <w:pPr>
        <w:pStyle w:val="Heading2"/>
      </w:pPr>
      <w:r>
        <w:t>12.4 Timed export</w:t>
      </w:r>
    </w:p>
    <w:p>
      <w:r>
        <w:t>Export records the live master for a specified number of bars or seconds. Where fade-at-end is enabled, the stop fade is initiated on completion of the body and recording continues across it, giving a total length of body plus fade. The recording is assembled from the same tap as the rolling buffer and is therefore identical to what was heard.</w:t>
      </w:r>
    </w:p>
    <w:p>
      <w:r>
        <w:t>Output is 16-bit stereo RIFF WAVE at the context sample rate. Length is bounded at fifteen minutes, which at 48 kHz corresponds to approximately 345 MB of intermediate floating-point storage.</w:t>
      </w:r>
    </w:p>
    <w:p>
      <w:r>
        <w:br w:type="page"/>
      </w:r>
    </w:p>
    <w:p>
      <w:pPr>
        <w:pStyle w:val="Heading1"/>
      </w:pPr>
      <w:r>
        <w:t>13. Visualisation</w:t>
      </w:r>
    </w:p>
    <w:p>
      <w:r>
        <w:t>Two displays are provided. The phase grid is a polar plot in which each part occupies a concentric ring; its angular position is its position within its cycle, a radial sweep marks the grid position, and an arc drawn from the grid position to the part's head shows the current displacement and its direction. Where a boundary is set, the permitted region is drawn as a band about the grid position, so that the constraint is visible alongside the state it constrains.</w:t>
      </w:r>
    </w:p>
    <w:p>
      <w:r>
        <w:t>The deviation history plots δ_i against time for all parts on a common axis of ±50%, with boundary bands shaded. Bounded drift appears as a triangular wave whose amplitude is the boundary; convergence appears as decay toward the axis; orbit appears as a sinusoid. The plot holds 720 samples at approximately 16 Hz, giving roughly 45 seconds of history.</w:t>
      </w:r>
    </w:p>
    <w:p>
      <w:r>
        <w:t>For parts under the start target, where onsets do not move, the display shows read-head position rather than onset position, so that creep remains visible.</w:t>
      </w:r>
    </w:p>
    <w:p>
      <w:pPr>
        <w:pStyle w:val="Heading1"/>
      </w:pPr>
      <w:r>
        <w:t>14. Resource use and runtime behaviour</w:t>
      </w:r>
    </w:p>
    <w:tbl>
      <w:tblPr>
        <w:tblW w:type="auto" w:w="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Layout w:type="fixed"/>
        <w:tblLook w:firstColumn="1" w:firstRow="1" w:lastColumn="0" w:lastRow="0" w:noHBand="0" w:noVBand="1" w:val="04A0"/>
      </w:tblPr>
      <w:tblGrid>
        <w:gridCol w:w="4680"/>
        <w:gridCol w:w="4680"/>
      </w:tblGrid>
      <w:tr>
        <w:trPr>
          <w:cantSplit/>
          <w:tblHeader w:val="true"/>
        </w:trPr>
        <w:tc>
          <w:tcPr>
            <w:tcW w:type="dxa" w:w="3175"/>
            <w:shd w:fill="F2F4F7"/>
            <w:vAlign w:val="center"/>
          </w:tcPr>
          <w:p>
            <w:pPr>
              <w:spacing w:before="0" w:after="0"/>
            </w:pPr>
            <w:r>
              <w:rPr>
                <w:rFonts w:ascii="Calibri" w:hAnsi="Calibri"/>
                <w:b/>
                <w:color w:val="1C1A22"/>
                <w:sz w:val="19"/>
              </w:rPr>
              <w:t>Quantity</w:t>
            </w:r>
          </w:p>
        </w:tc>
        <w:tc>
          <w:tcPr>
            <w:tcW w:type="dxa" w:w="6009"/>
            <w:shd w:fill="F2F4F7"/>
            <w:vAlign w:val="center"/>
          </w:tcPr>
          <w:p>
            <w:pPr>
              <w:spacing w:before="0" w:after="0"/>
            </w:pPr>
            <w:r>
              <w:rPr>
                <w:rFonts w:ascii="Calibri" w:hAnsi="Calibri"/>
                <w:b/>
                <w:color w:val="1C1A22"/>
                <w:sz w:val="19"/>
              </w:rPr>
              <w:t>Typical value</w:t>
            </w:r>
          </w:p>
        </w:tc>
      </w:tr>
      <w:tr>
        <w:tc>
          <w:tcPr>
            <w:tcW w:type="dxa" w:w="3175"/>
            <w:vAlign w:val="center"/>
          </w:tcPr>
          <w:p>
            <w:pPr>
              <w:spacing w:before="0" w:after="0"/>
            </w:pPr>
            <w:r>
              <w:rPr>
                <w:rFonts w:ascii="Calibri" w:hAnsi="Calibri"/>
                <w:b w:val="0"/>
                <w:color w:val="1C1A22"/>
                <w:sz w:val="19"/>
              </w:rPr>
              <w:t>Application size</w:t>
            </w:r>
          </w:p>
        </w:tc>
        <w:tc>
          <w:tcPr>
            <w:tcW w:type="dxa" w:w="6009"/>
            <w:vAlign w:val="center"/>
          </w:tcPr>
          <w:p>
            <w:pPr>
              <w:spacing w:before="0" w:after="0"/>
            </w:pPr>
            <w:r>
              <w:rPr>
                <w:rFonts w:ascii="Calibri" w:hAnsi="Calibri"/>
                <w:b w:val="0"/>
                <w:color w:val="1C1A22"/>
                <w:sz w:val="19"/>
              </w:rPr>
              <w:t>≈ 100 kB, single file, no external requests</w:t>
            </w:r>
          </w:p>
        </w:tc>
      </w:tr>
      <w:tr>
        <w:tc>
          <w:tcPr>
            <w:tcW w:type="dxa" w:w="3175"/>
            <w:vAlign w:val="center"/>
          </w:tcPr>
          <w:p>
            <w:pPr>
              <w:spacing w:before="0" w:after="0"/>
            </w:pPr>
            <w:r>
              <w:rPr>
                <w:rFonts w:ascii="Calibri" w:hAnsi="Calibri"/>
                <w:b w:val="0"/>
                <w:color w:val="1C1A22"/>
                <w:sz w:val="19"/>
              </w:rPr>
              <w:t>Audio nodes, steady state</w:t>
            </w:r>
          </w:p>
        </w:tc>
        <w:tc>
          <w:tcPr>
            <w:tcW w:type="dxa" w:w="6009"/>
            <w:vAlign w:val="center"/>
          </w:tcPr>
          <w:p>
            <w:pPr>
              <w:spacing w:before="0" w:after="0"/>
            </w:pPr>
            <w:r>
              <w:rPr>
                <w:rFonts w:ascii="Calibri" w:hAnsi="Calibri"/>
                <w:b w:val="0"/>
                <w:color w:val="1C1A22"/>
                <w:sz w:val="19"/>
              </w:rPr>
              <w:t>31 persistent, plus 2–5 transient per cycle per part</w:t>
            </w:r>
          </w:p>
        </w:tc>
      </w:tr>
      <w:tr>
        <w:tc>
          <w:tcPr>
            <w:tcW w:type="dxa" w:w="3175"/>
            <w:vAlign w:val="center"/>
          </w:tcPr>
          <w:p>
            <w:pPr>
              <w:spacing w:before="0" w:after="0"/>
            </w:pPr>
            <w:r>
              <w:rPr>
                <w:rFonts w:ascii="Calibri" w:hAnsi="Calibri"/>
                <w:b w:val="0"/>
                <w:color w:val="1C1A22"/>
                <w:sz w:val="19"/>
              </w:rPr>
              <w:t>Scheduler wake-ups</w:t>
            </w:r>
          </w:p>
        </w:tc>
        <w:tc>
          <w:tcPr>
            <w:tcW w:type="dxa" w:w="6009"/>
            <w:vAlign w:val="center"/>
          </w:tcPr>
          <w:p>
            <w:pPr>
              <w:spacing w:before="0" w:after="0"/>
            </w:pPr>
            <w:r>
              <w:rPr>
                <w:rFonts w:ascii="Calibri" w:hAnsi="Calibri"/>
                <w:b w:val="0"/>
                <w:color w:val="1C1A22"/>
                <w:sz w:val="19"/>
              </w:rPr>
              <w:t>25 per second</w:t>
            </w:r>
          </w:p>
        </w:tc>
      </w:tr>
      <w:tr>
        <w:tc>
          <w:tcPr>
            <w:tcW w:type="dxa" w:w="3175"/>
            <w:vAlign w:val="center"/>
          </w:tcPr>
          <w:p>
            <w:pPr>
              <w:spacing w:before="0" w:after="0"/>
            </w:pPr>
            <w:r>
              <w:rPr>
                <w:rFonts w:ascii="Calibri" w:hAnsi="Calibri"/>
                <w:b w:val="0"/>
                <w:color w:val="1C1A22"/>
                <w:sz w:val="19"/>
              </w:rPr>
              <w:t>Scheduling horizon</w:t>
            </w:r>
          </w:p>
        </w:tc>
        <w:tc>
          <w:tcPr>
            <w:tcW w:type="dxa" w:w="6009"/>
            <w:vAlign w:val="center"/>
          </w:tcPr>
          <w:p>
            <w:pPr>
              <w:spacing w:before="0" w:after="0"/>
            </w:pPr>
            <w:r>
              <w:rPr>
                <w:rFonts w:ascii="Calibri" w:hAnsi="Calibri"/>
                <w:b w:val="0"/>
                <w:color w:val="1C1A22"/>
                <w:sz w:val="19"/>
              </w:rPr>
              <w:t>280 ms</w:t>
            </w:r>
          </w:p>
        </w:tc>
      </w:tr>
      <w:tr>
        <w:tc>
          <w:tcPr>
            <w:tcW w:type="dxa" w:w="3175"/>
            <w:vAlign w:val="center"/>
          </w:tcPr>
          <w:p>
            <w:pPr>
              <w:spacing w:before="0" w:after="0"/>
            </w:pPr>
            <w:r>
              <w:rPr>
                <w:rFonts w:ascii="Calibri" w:hAnsi="Calibri"/>
                <w:b w:val="0"/>
                <w:color w:val="1C1A22"/>
                <w:sz w:val="19"/>
              </w:rPr>
              <w:t>Rolling capture buffer</w:t>
            </w:r>
          </w:p>
        </w:tc>
        <w:tc>
          <w:tcPr>
            <w:tcW w:type="dxa" w:w="6009"/>
            <w:vAlign w:val="center"/>
          </w:tcPr>
          <w:p>
            <w:pPr>
              <w:spacing w:before="0" w:after="0"/>
            </w:pPr>
            <w:r>
              <w:rPr>
                <w:rFonts w:ascii="Calibri" w:hAnsi="Calibri"/>
                <w:b w:val="0"/>
                <w:color w:val="1C1A22"/>
                <w:sz w:val="19"/>
              </w:rPr>
              <w:t>100 s stereo ≈ 38 MB at 48 kHz</w:t>
            </w:r>
          </w:p>
        </w:tc>
      </w:tr>
      <w:tr>
        <w:tc>
          <w:tcPr>
            <w:tcW w:type="dxa" w:w="3175"/>
            <w:vAlign w:val="center"/>
          </w:tcPr>
          <w:p>
            <w:pPr>
              <w:spacing w:before="0" w:after="0"/>
            </w:pPr>
            <w:r>
              <w:rPr>
                <w:rFonts w:ascii="Calibri" w:hAnsi="Calibri"/>
                <w:b w:val="0"/>
                <w:color w:val="1C1A22"/>
                <w:sz w:val="19"/>
              </w:rPr>
              <w:t>Generator render time</w:t>
            </w:r>
          </w:p>
        </w:tc>
        <w:tc>
          <w:tcPr>
            <w:tcW w:type="dxa" w:w="6009"/>
            <w:vAlign w:val="center"/>
          </w:tcPr>
          <w:p>
            <w:pPr>
              <w:spacing w:before="0" w:after="0"/>
            </w:pPr>
            <w:r>
              <w:rPr>
                <w:rFonts w:ascii="Calibri" w:hAnsi="Calibri"/>
                <w:b w:val="0"/>
                <w:color w:val="1C1A22"/>
                <w:sz w:val="19"/>
              </w:rPr>
              <w:t>20–90 ms per loop, offline, once per tempo change</w:t>
            </w:r>
          </w:p>
        </w:tc>
      </w:tr>
      <w:tr>
        <w:tc>
          <w:tcPr>
            <w:tcW w:type="dxa" w:w="3175"/>
            <w:vAlign w:val="center"/>
          </w:tcPr>
          <w:p>
            <w:pPr>
              <w:spacing w:before="0" w:after="0"/>
            </w:pPr>
            <w:r>
              <w:rPr>
                <w:rFonts w:ascii="Calibri" w:hAnsi="Calibri"/>
                <w:b w:val="0"/>
                <w:color w:val="1C1A22"/>
                <w:sz w:val="19"/>
              </w:rPr>
              <w:t>Display refresh</w:t>
            </w:r>
          </w:p>
        </w:tc>
        <w:tc>
          <w:tcPr>
            <w:tcW w:type="dxa" w:w="6009"/>
            <w:vAlign w:val="center"/>
          </w:tcPr>
          <w:p>
            <w:pPr>
              <w:spacing w:before="0" w:after="0"/>
            </w:pPr>
            <w:r>
              <w:rPr>
                <w:rFonts w:ascii="Calibri" w:hAnsi="Calibri"/>
                <w:b w:val="0"/>
                <w:color w:val="1C1A22"/>
                <w:sz w:val="19"/>
              </w:rPr>
              <w:t>Animation-frame rate; measurement throttled to ≈ 16 Hz</w:t>
            </w:r>
          </w:p>
        </w:tc>
      </w:tr>
      <w:tr>
        <w:tc>
          <w:tcPr>
            <w:tcW w:type="dxa" w:w="3175"/>
            <w:vAlign w:val="center"/>
          </w:tcPr>
          <w:p>
            <w:pPr>
              <w:spacing w:before="0" w:after="0"/>
            </w:pPr>
            <w:r>
              <w:rPr>
                <w:rFonts w:ascii="Calibri" w:hAnsi="Calibri"/>
                <w:b w:val="0"/>
                <w:color w:val="1C1A22"/>
                <w:sz w:val="19"/>
              </w:rPr>
              <w:t>Export ceiling</w:t>
            </w:r>
          </w:p>
        </w:tc>
        <w:tc>
          <w:tcPr>
            <w:tcW w:type="dxa" w:w="6009"/>
            <w:vAlign w:val="center"/>
          </w:tcPr>
          <w:p>
            <w:pPr>
              <w:spacing w:before="0" w:after="0"/>
            </w:pPr>
            <w:r>
              <w:rPr>
                <w:rFonts w:ascii="Calibri" w:hAnsi="Calibri"/>
                <w:b w:val="0"/>
                <w:color w:val="1C1A22"/>
                <w:sz w:val="19"/>
              </w:rPr>
              <w:t>15 minutes</w:t>
            </w:r>
          </w:p>
        </w:tc>
      </w:tr>
    </w:tbl>
    <w:p/>
    <w:p>
      <w:r>
        <w:t>Steady-state CPU use is dominated by convolution and by canvas rendering rather than by the drift model, whose cost is a handful of arithmetic operations per cycle per part. Transient allocation is bounded by the scheduler guard.</w:t>
      </w:r>
    </w:p>
    <w:p>
      <w:pPr>
        <w:pStyle w:val="Heading1"/>
      </w:pPr>
      <w:r>
        <w:t>15. Browser boundary, security and privacy</w:t>
      </w:r>
    </w:p>
    <w:p>
      <w:r>
        <w:t>DriftGrid performs no network requests after the document loads. There is no server component, no telemetry, no analytics and no persistence: user audio is decoded in the page and never leaves it, and captures are constructed as blob URLs held in memory until saved or discarded. Closing the page discards all state.</w:t>
      </w:r>
    </w:p>
    <w:p>
      <w:r>
        <w:t>The application requires no permissions beyond the user gesture necessary to create an AudioContext. It does not access the microphone, the file system beyond explicit user selection, or any storage API.</w:t>
      </w:r>
    </w:p>
    <w:p>
      <w:pPr>
        <w:pStyle w:val="Heading1"/>
      </w:pPr>
      <w:r>
        <w:t>16. Interpretation as a compositional system</w:t>
      </w:r>
    </w:p>
    <w:p>
      <w:r>
        <w:t>The phase technique in its historical form is a single process applied once: identical material, one part slightly faster, allowed to run until it returns. Its interest lies in the fact that the composer specifies almost nothing and the material supplies everything. DriftGrid retains that character while widening the space of processes available.</w:t>
      </w:r>
    </w:p>
    <w:p>
      <w:r>
        <w:t>Three of its parameters are, in this reading, the substantive additions. The boundary converts a one-way journey into a bounded excursion, which changes the temporal scale of the piece from the duration of a full revolution to whatever the composer chooses. Coupling introduces relationships between parts that the historical technique does not possess: material that resolves, material that flees, material that circles. Quantisation strength places the continuous and discrete forms of the technique on a single axis, so that a piece may move between them rather than choosing one at the outset.</w:t>
      </w:r>
    </w:p>
    <w:p>
      <w:r>
        <w:t>The capture subsystem reflects a related view: that in a process piece the composer's work is largely the selection of moments from what the process produces. Automatic and stochastic capture are attempts to make that selection tractable without making it deterministic.</w:t>
      </w:r>
    </w:p>
    <w:p>
      <w:pPr>
        <w:pStyle w:val="Heading1"/>
      </w:pPr>
      <w:r>
        <w:t>17. Limitations of version 1.0.0</w:t>
      </w:r>
    </w:p>
    <w:p>
      <w:pPr>
        <w:pStyle w:val="ListBullet"/>
      </w:pPr>
      <w:r>
        <w:t>Parts are limited to four. The phase display and the alignment score both degrade in legibility beyond that, and the pairwise scoring is quadratic in part count.</w:t>
      </w:r>
    </w:p>
    <w:p>
      <w:pPr>
        <w:pStyle w:val="ListBullet"/>
      </w:pPr>
      <w:r>
        <w:t>No analysis is performed on loaded audio. Tempo, downbeat and loop length must be established by the composer.</w:t>
      </w:r>
    </w:p>
    <w:p>
      <w:pPr>
        <w:pStyle w:val="ListBullet"/>
      </w:pPr>
      <w:r>
        <w:t>There is no session persistence. Parameter states are not saved, and a reload returns the system to its defaults.</w:t>
      </w:r>
    </w:p>
    <w:p>
      <w:pPr>
        <w:pStyle w:val="ListBullet"/>
      </w:pPr>
      <w:r>
        <w:t>Quantisation acts on onsets only. Material with internal rhythmic structure is displaced as a whole; individual events within a cycle are not requantised.</w:t>
      </w:r>
    </w:p>
    <w:p>
      <w:pPr>
        <w:pStyle w:val="ListBullet"/>
      </w:pPr>
      <w:r>
        <w:t>The room is a single generated impulse with no control over its early-reflection pattern, and no facility for loading measured impulse responses.</w:t>
      </w:r>
    </w:p>
    <w:p>
      <w:pPr>
        <w:pStyle w:val="ListBullet"/>
      </w:pPr>
      <w:r>
        <w:t>Export is bounded at fifteen minutes and is held entirely in memory; there is no streaming encoder.</w:t>
      </w:r>
    </w:p>
    <w:p>
      <w:pPr>
        <w:pStyle w:val="ListBullet"/>
      </w:pPr>
      <w:r>
        <w:t>Alignment scoring considers phase only. Two parts may coincide in phase while being spectrally unrelated, and the score cannot distinguish the cases.</w:t>
      </w:r>
    </w:p>
    <w:p>
      <w:pPr>
        <w:pStyle w:val="ListBullet"/>
      </w:pPr>
      <w:r>
        <w:t>The stochastic capture bias offers a choice between alignment and motion but cannot combine them or weight them independently.</w:t>
      </w:r>
    </w:p>
    <w:p>
      <w:pPr>
        <w:pStyle w:val="Heading1"/>
      </w:pPr>
      <w:r>
        <w:t>18. Engineering roadmap</w:t>
      </w:r>
    </w:p>
    <w:p>
      <w:pPr>
        <w:pStyle w:val="ListNumber"/>
      </w:pPr>
      <w:r>
        <w:t>Session persistence and shareable state, encoded into the document URL so that a configuration can be exchanged without a server.</w:t>
      </w:r>
    </w:p>
    <w:p>
      <w:pPr>
        <w:pStyle w:val="ListNumber"/>
      </w:pPr>
      <w:r>
        <w:t>Per-part drift automation, allowing drift, boundary and coupling to follow a curve over the duration of a take rather than remaining constant.</w:t>
      </w:r>
    </w:p>
    <w:p>
      <w:pPr>
        <w:pStyle w:val="ListNumber"/>
      </w:pPr>
      <w:r>
        <w:t>Spectral contribution to the alignment score, so that captures reflect timbral coincidence as well as phase coincidence.</w:t>
      </w:r>
    </w:p>
    <w:p>
      <w:pPr>
        <w:pStyle w:val="ListNumber"/>
      </w:pPr>
      <w:r>
        <w:t>Streaming WAV encoding to remove the export ceiling, writing incrementally rather than assembling in memory.</w:t>
      </w:r>
    </w:p>
    <w:p>
      <w:pPr>
        <w:pStyle w:val="ListNumber"/>
      </w:pPr>
      <w:r>
        <w:t>Impulse response loading, so that measured spaces may be used in place of the generated room.</w:t>
      </w:r>
    </w:p>
    <w:p>
      <w:pPr>
        <w:pStyle w:val="ListNumber"/>
      </w:pPr>
      <w:r>
        <w:t>Event-level quantisation via onset detection within loaded material, extending the quantisation control from cycles to their contents.</w:t>
      </w:r>
    </w:p>
    <w:p>
      <w:pPr>
        <w:pStyle w:val="ListNumber"/>
      </w:pPr>
      <w:r>
        <w:t>An expanded relation model permitting explicit pairwise coupling between named parts rather than a single global mode.</w:t>
      </w:r>
    </w:p>
    <w:p>
      <w:pPr>
        <w:pStyle w:val="ListNumber"/>
      </w:pPr>
      <w:r>
        <w:t>MIDI clock output, so that a drifting ensemble can serve as a timing source for external instruments.</w:t>
      </w:r>
    </w:p>
    <w:p>
      <w:pPr>
        <w:pStyle w:val="Heading1"/>
      </w:pPr>
      <w:r>
        <w:t>19. Conclusion</w:t>
      </w:r>
    </w:p>
    <w:p>
      <w:r>
        <w:t>DriftGrid treats phase not as an effect to be applied but as a parameter space to be composed within. By separating the axis of drift from its magnitude, bounding divergence, permitting parts to be coupled, and placing continuous and quantised displacement on a single control, it turns a technique that historically produced individual pieces into a system capable of producing many.</w:t>
      </w:r>
    </w:p>
    <w:p>
      <w:r>
        <w:t>The observation subsystem follows from the same premise. A process that generates its own significant moments should be capable of recognising and preserving them, and the combination of threshold-based and stochastically weighted capture is an attempt to do so without reducing the process to a set of rules the composer must anticipate in advance.</w:t>
      </w:r>
    </w:p>
    <w:p>
      <w:r>
        <w:br w:type="page"/>
      </w:r>
    </w:p>
    <w:p>
      <w:pPr>
        <w:pStyle w:val="Heading1"/>
      </w:pPr>
      <w:r>
        <w:t>Appendix A: Principal parameter ranges</w:t>
      </w:r>
    </w:p>
    <w:tbl>
      <w:tblPr>
        <w:tblW w:type="auto" w:w="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Layout w:type="fixed"/>
        <w:tblLook w:firstColumn="1" w:firstRow="1" w:lastColumn="0" w:lastRow="0" w:noHBand="0" w:noVBand="1" w:val="04A0"/>
      </w:tblPr>
      <w:tblGrid>
        <w:gridCol w:w="3120"/>
        <w:gridCol w:w="3120"/>
        <w:gridCol w:w="3120"/>
      </w:tblGrid>
      <w:tr>
        <w:trPr>
          <w:cantSplit/>
          <w:tblHeader w:val="true"/>
        </w:trPr>
        <w:tc>
          <w:tcPr>
            <w:tcW w:type="dxa" w:w="3061"/>
            <w:shd w:fill="F2F4F7"/>
            <w:vAlign w:val="center"/>
          </w:tcPr>
          <w:p>
            <w:pPr>
              <w:spacing w:before="0" w:after="0"/>
            </w:pPr>
            <w:r>
              <w:rPr>
                <w:rFonts w:ascii="Calibri" w:hAnsi="Calibri"/>
                <w:b/>
                <w:color w:val="1C1A22"/>
                <w:sz w:val="19"/>
              </w:rPr>
              <w:t>Parameter</w:t>
            </w:r>
          </w:p>
        </w:tc>
        <w:tc>
          <w:tcPr>
            <w:tcW w:type="dxa" w:w="4082"/>
            <w:shd w:fill="F2F4F7"/>
            <w:vAlign w:val="center"/>
          </w:tcPr>
          <w:p>
            <w:pPr>
              <w:spacing w:before="0" w:after="0"/>
            </w:pPr>
            <w:r>
              <w:rPr>
                <w:rFonts w:ascii="Calibri" w:hAnsi="Calibri"/>
                <w:b/>
                <w:color w:val="1C1A22"/>
                <w:sz w:val="19"/>
              </w:rPr>
              <w:t>Range</w:t>
            </w:r>
          </w:p>
        </w:tc>
        <w:tc>
          <w:tcPr>
            <w:tcW w:type="dxa" w:w="2041"/>
            <w:shd w:fill="F2F4F7"/>
            <w:vAlign w:val="center"/>
          </w:tcPr>
          <w:p>
            <w:pPr>
              <w:spacing w:before="0" w:after="0"/>
            </w:pPr>
            <w:r>
              <w:rPr>
                <w:rFonts w:ascii="Calibri" w:hAnsi="Calibri"/>
                <w:b/>
                <w:color w:val="1C1A22"/>
                <w:sz w:val="19"/>
              </w:rPr>
              <w:t>Default</w:t>
            </w:r>
          </w:p>
        </w:tc>
      </w:tr>
      <w:tr>
        <w:tc>
          <w:tcPr>
            <w:tcW w:type="dxa" w:w="3061"/>
            <w:vAlign w:val="center"/>
          </w:tcPr>
          <w:p>
            <w:pPr>
              <w:spacing w:before="0" w:after="0"/>
            </w:pPr>
            <w:r>
              <w:rPr>
                <w:rFonts w:ascii="Calibri" w:hAnsi="Calibri"/>
                <w:b w:val="0"/>
                <w:color w:val="1C1A22"/>
                <w:sz w:val="19"/>
              </w:rPr>
              <w:t>Tempo</w:t>
            </w:r>
          </w:p>
        </w:tc>
        <w:tc>
          <w:tcPr>
            <w:tcW w:type="dxa" w:w="4082"/>
            <w:vAlign w:val="center"/>
          </w:tcPr>
          <w:p>
            <w:pPr>
              <w:spacing w:before="0" w:after="0"/>
            </w:pPr>
            <w:r>
              <w:rPr>
                <w:rFonts w:ascii="Calibri" w:hAnsi="Calibri"/>
                <w:b w:val="0"/>
                <w:color w:val="1C1A22"/>
                <w:sz w:val="19"/>
              </w:rPr>
              <w:t>30 – 240 BPM</w:t>
            </w:r>
          </w:p>
        </w:tc>
        <w:tc>
          <w:tcPr>
            <w:tcW w:type="dxa" w:w="2041"/>
            <w:vAlign w:val="center"/>
          </w:tcPr>
          <w:p>
            <w:pPr>
              <w:spacing w:before="0" w:after="0"/>
            </w:pPr>
            <w:r>
              <w:rPr>
                <w:rFonts w:ascii="Calibri" w:hAnsi="Calibri"/>
                <w:b w:val="0"/>
                <w:color w:val="1C1A22"/>
                <w:sz w:val="19"/>
              </w:rPr>
              <w:t>120</w:t>
            </w:r>
          </w:p>
        </w:tc>
      </w:tr>
      <w:tr>
        <w:tc>
          <w:tcPr>
            <w:tcW w:type="dxa" w:w="3061"/>
            <w:vAlign w:val="center"/>
          </w:tcPr>
          <w:p>
            <w:pPr>
              <w:spacing w:before="0" w:after="0"/>
            </w:pPr>
            <w:r>
              <w:rPr>
                <w:rFonts w:ascii="Calibri" w:hAnsi="Calibri"/>
                <w:b w:val="0"/>
                <w:color w:val="1C1A22"/>
                <w:sz w:val="19"/>
              </w:rPr>
              <w:t>Bar length</w:t>
            </w:r>
          </w:p>
        </w:tc>
        <w:tc>
          <w:tcPr>
            <w:tcW w:type="dxa" w:w="4082"/>
            <w:vAlign w:val="center"/>
          </w:tcPr>
          <w:p>
            <w:pPr>
              <w:spacing w:before="0" w:after="0"/>
            </w:pPr>
            <w:r>
              <w:rPr>
                <w:rFonts w:ascii="Calibri" w:hAnsi="Calibri"/>
                <w:b w:val="0"/>
                <w:color w:val="1C1A22"/>
                <w:sz w:val="19"/>
              </w:rPr>
              <w:t>1 – 32 beats</w:t>
            </w:r>
          </w:p>
        </w:tc>
        <w:tc>
          <w:tcPr>
            <w:tcW w:type="dxa" w:w="2041"/>
            <w:vAlign w:val="center"/>
          </w:tcPr>
          <w:p>
            <w:pPr>
              <w:spacing w:before="0" w:after="0"/>
            </w:pPr>
            <w:r>
              <w:rPr>
                <w:rFonts w:ascii="Calibri" w:hAnsi="Calibri"/>
                <w:b w:val="0"/>
                <w:color w:val="1C1A22"/>
                <w:sz w:val="19"/>
              </w:rPr>
              <w:t>4</w:t>
            </w:r>
          </w:p>
        </w:tc>
      </w:tr>
      <w:tr>
        <w:tc>
          <w:tcPr>
            <w:tcW w:type="dxa" w:w="3061"/>
            <w:vAlign w:val="center"/>
          </w:tcPr>
          <w:p>
            <w:pPr>
              <w:spacing w:before="0" w:after="0"/>
            </w:pPr>
            <w:r>
              <w:rPr>
                <w:rFonts w:ascii="Calibri" w:hAnsi="Calibri"/>
                <w:b w:val="0"/>
                <w:color w:val="1C1A22"/>
                <w:sz w:val="19"/>
              </w:rPr>
              <w:t>Parts</w:t>
            </w:r>
          </w:p>
        </w:tc>
        <w:tc>
          <w:tcPr>
            <w:tcW w:type="dxa" w:w="4082"/>
            <w:vAlign w:val="center"/>
          </w:tcPr>
          <w:p>
            <w:pPr>
              <w:spacing w:before="0" w:after="0"/>
            </w:pPr>
            <w:r>
              <w:rPr>
                <w:rFonts w:ascii="Calibri" w:hAnsi="Calibri"/>
                <w:b w:val="0"/>
                <w:color w:val="1C1A22"/>
                <w:sz w:val="19"/>
              </w:rPr>
              <w:t>2 – 4</w:t>
            </w:r>
          </w:p>
        </w:tc>
        <w:tc>
          <w:tcPr>
            <w:tcW w:type="dxa" w:w="2041"/>
            <w:vAlign w:val="center"/>
          </w:tcPr>
          <w:p>
            <w:pPr>
              <w:spacing w:before="0" w:after="0"/>
            </w:pPr>
            <w:r>
              <w:rPr>
                <w:rFonts w:ascii="Calibri" w:hAnsi="Calibri"/>
                <w:b w:val="0"/>
                <w:color w:val="1C1A22"/>
                <w:sz w:val="19"/>
              </w:rPr>
              <w:t>3</w:t>
            </w:r>
          </w:p>
        </w:tc>
      </w:tr>
      <w:tr>
        <w:tc>
          <w:tcPr>
            <w:tcW w:type="dxa" w:w="3061"/>
            <w:vAlign w:val="center"/>
          </w:tcPr>
          <w:p>
            <w:pPr>
              <w:spacing w:before="0" w:after="0"/>
            </w:pPr>
            <w:r>
              <w:rPr>
                <w:rFonts w:ascii="Calibri" w:hAnsi="Calibri"/>
                <w:b w:val="0"/>
                <w:color w:val="1C1A22"/>
                <w:sz w:val="19"/>
              </w:rPr>
              <w:t>Drift magnitude</w:t>
            </w:r>
          </w:p>
        </w:tc>
        <w:tc>
          <w:tcPr>
            <w:tcW w:type="dxa" w:w="4082"/>
            <w:vAlign w:val="center"/>
          </w:tcPr>
          <w:p>
            <w:pPr>
              <w:spacing w:before="0" w:after="0"/>
            </w:pPr>
            <w:r>
              <w:rPr>
                <w:rFonts w:ascii="Calibri" w:hAnsi="Calibri"/>
                <w:b w:val="0"/>
                <w:color w:val="1C1A22"/>
                <w:sz w:val="19"/>
              </w:rPr>
              <w:t>0 – 3% per cycle</w:t>
            </w:r>
          </w:p>
        </w:tc>
        <w:tc>
          <w:tcPr>
            <w:tcW w:type="dxa" w:w="2041"/>
            <w:vAlign w:val="center"/>
          </w:tcPr>
          <w:p>
            <w:pPr>
              <w:spacing w:before="0" w:after="0"/>
            </w:pPr>
            <w:r>
              <w:rPr>
                <w:rFonts w:ascii="Calibri" w:hAnsi="Calibri"/>
                <w:b w:val="0"/>
                <w:color w:val="1C1A22"/>
                <w:sz w:val="19"/>
              </w:rPr>
              <w:t>0.35% (part 2)</w:t>
            </w:r>
          </w:p>
        </w:tc>
      </w:tr>
      <w:tr>
        <w:tc>
          <w:tcPr>
            <w:tcW w:type="dxa" w:w="3061"/>
            <w:vAlign w:val="center"/>
          </w:tcPr>
          <w:p>
            <w:pPr>
              <w:spacing w:before="0" w:after="0"/>
            </w:pPr>
            <w:r>
              <w:rPr>
                <w:rFonts w:ascii="Calibri" w:hAnsi="Calibri"/>
                <w:b w:val="0"/>
                <w:color w:val="1C1A22"/>
                <w:sz w:val="19"/>
              </w:rPr>
              <w:t>Global drift multiplier</w:t>
            </w:r>
          </w:p>
        </w:tc>
        <w:tc>
          <w:tcPr>
            <w:tcW w:type="dxa" w:w="4082"/>
            <w:vAlign w:val="center"/>
          </w:tcPr>
          <w:p>
            <w:pPr>
              <w:spacing w:before="0" w:after="0"/>
            </w:pPr>
            <w:r>
              <w:rPr>
                <w:rFonts w:ascii="Calibri" w:hAnsi="Calibri"/>
                <w:b w:val="0"/>
                <w:color w:val="1C1A22"/>
                <w:sz w:val="19"/>
              </w:rPr>
              <w:t>0 – 3 ×</w:t>
            </w:r>
          </w:p>
        </w:tc>
        <w:tc>
          <w:tcPr>
            <w:tcW w:type="dxa" w:w="2041"/>
            <w:vAlign w:val="center"/>
          </w:tcPr>
          <w:p>
            <w:pPr>
              <w:spacing w:before="0" w:after="0"/>
            </w:pPr>
            <w:r>
              <w:rPr>
                <w:rFonts w:ascii="Calibri" w:hAnsi="Calibri"/>
                <w:b w:val="0"/>
                <w:color w:val="1C1A22"/>
                <w:sz w:val="19"/>
              </w:rPr>
              <w:t>1 ×</w:t>
            </w:r>
          </w:p>
        </w:tc>
      </w:tr>
      <w:tr>
        <w:tc>
          <w:tcPr>
            <w:tcW w:type="dxa" w:w="3061"/>
            <w:vAlign w:val="center"/>
          </w:tcPr>
          <w:p>
            <w:pPr>
              <w:spacing w:before="0" w:after="0"/>
            </w:pPr>
            <w:r>
              <w:rPr>
                <w:rFonts w:ascii="Calibri" w:hAnsi="Calibri"/>
                <w:b w:val="0"/>
                <w:color w:val="1C1A22"/>
                <w:sz w:val="19"/>
              </w:rPr>
              <w:t>Boundary</w:t>
            </w:r>
          </w:p>
        </w:tc>
        <w:tc>
          <w:tcPr>
            <w:tcW w:type="dxa" w:w="4082"/>
            <w:vAlign w:val="center"/>
          </w:tcPr>
          <w:p>
            <w:pPr>
              <w:spacing w:before="0" w:after="0"/>
            </w:pPr>
            <w:r>
              <w:rPr>
                <w:rFonts w:ascii="Calibri" w:hAnsi="Calibri"/>
                <w:b w:val="0"/>
                <w:color w:val="1C1A22"/>
                <w:sz w:val="19"/>
              </w:rPr>
              <w:t>1 – 50% of a cycle (50% = free run)</w:t>
            </w:r>
          </w:p>
        </w:tc>
        <w:tc>
          <w:tcPr>
            <w:tcW w:type="dxa" w:w="2041"/>
            <w:vAlign w:val="center"/>
          </w:tcPr>
          <w:p>
            <w:pPr>
              <w:spacing w:before="0" w:after="0"/>
            </w:pPr>
            <w:r>
              <w:rPr>
                <w:rFonts w:ascii="Calibri" w:hAnsi="Calibri"/>
                <w:b w:val="0"/>
                <w:color w:val="1C1A22"/>
                <w:sz w:val="19"/>
              </w:rPr>
              <w:t>25%</w:t>
            </w:r>
          </w:p>
        </w:tc>
      </w:tr>
      <w:tr>
        <w:tc>
          <w:tcPr>
            <w:tcW w:type="dxa" w:w="3061"/>
            <w:vAlign w:val="center"/>
          </w:tcPr>
          <w:p>
            <w:pPr>
              <w:spacing w:before="0" w:after="0"/>
            </w:pPr>
            <w:r>
              <w:rPr>
                <w:rFonts w:ascii="Calibri" w:hAnsi="Calibri"/>
                <w:b w:val="0"/>
                <w:color w:val="1C1A22"/>
                <w:sz w:val="19"/>
              </w:rPr>
              <w:t>Phase offset</w:t>
            </w:r>
          </w:p>
        </w:tc>
        <w:tc>
          <w:tcPr>
            <w:tcW w:type="dxa" w:w="4082"/>
            <w:vAlign w:val="center"/>
          </w:tcPr>
          <w:p>
            <w:pPr>
              <w:spacing w:before="0" w:after="0"/>
            </w:pPr>
            <w:r>
              <w:rPr>
                <w:rFonts w:ascii="Calibri" w:hAnsi="Calibri"/>
                <w:b w:val="0"/>
                <w:color w:val="1C1A22"/>
                <w:sz w:val="19"/>
              </w:rPr>
              <w:t>−50 – +50% of a cycle</w:t>
            </w:r>
          </w:p>
        </w:tc>
        <w:tc>
          <w:tcPr>
            <w:tcW w:type="dxa" w:w="2041"/>
            <w:vAlign w:val="center"/>
          </w:tcPr>
          <w:p>
            <w:pPr>
              <w:spacing w:before="0" w:after="0"/>
            </w:pPr>
            <w:r>
              <w:rPr>
                <w:rFonts w:ascii="Calibri" w:hAnsi="Calibri"/>
                <w:b w:val="0"/>
                <w:color w:val="1C1A22"/>
                <w:sz w:val="19"/>
              </w:rPr>
              <w:t>0</w:t>
            </w:r>
          </w:p>
        </w:tc>
      </w:tr>
      <w:tr>
        <w:tc>
          <w:tcPr>
            <w:tcW w:type="dxa" w:w="3061"/>
            <w:vAlign w:val="center"/>
          </w:tcPr>
          <w:p>
            <w:pPr>
              <w:spacing w:before="0" w:after="0"/>
            </w:pPr>
            <w:r>
              <w:rPr>
                <w:rFonts w:ascii="Calibri" w:hAnsi="Calibri"/>
                <w:b w:val="0"/>
                <w:color w:val="1C1A22"/>
                <w:sz w:val="19"/>
              </w:rPr>
              <w:t>Fluctuation rate</w:t>
            </w:r>
          </w:p>
        </w:tc>
        <w:tc>
          <w:tcPr>
            <w:tcW w:type="dxa" w:w="4082"/>
            <w:vAlign w:val="center"/>
          </w:tcPr>
          <w:p>
            <w:pPr>
              <w:spacing w:before="0" w:after="0"/>
            </w:pPr>
            <w:r>
              <w:rPr>
                <w:rFonts w:ascii="Calibri" w:hAnsi="Calibri"/>
                <w:b w:val="0"/>
                <w:color w:val="1C1A22"/>
                <w:sz w:val="19"/>
              </w:rPr>
              <w:t>0.005 – 0.5 Hz</w:t>
            </w:r>
          </w:p>
        </w:tc>
        <w:tc>
          <w:tcPr>
            <w:tcW w:type="dxa" w:w="2041"/>
            <w:vAlign w:val="center"/>
          </w:tcPr>
          <w:p>
            <w:pPr>
              <w:spacing w:before="0" w:after="0"/>
            </w:pPr>
            <w:r>
              <w:rPr>
                <w:rFonts w:ascii="Calibri" w:hAnsi="Calibri"/>
                <w:b w:val="0"/>
                <w:color w:val="1C1A22"/>
                <w:sz w:val="19"/>
              </w:rPr>
              <w:t>0.05 Hz</w:t>
            </w:r>
          </w:p>
        </w:tc>
      </w:tr>
      <w:tr>
        <w:tc>
          <w:tcPr>
            <w:tcW w:type="dxa" w:w="3061"/>
            <w:vAlign w:val="center"/>
          </w:tcPr>
          <w:p>
            <w:pPr>
              <w:spacing w:before="0" w:after="0"/>
            </w:pPr>
            <w:r>
              <w:rPr>
                <w:rFonts w:ascii="Calibri" w:hAnsi="Calibri"/>
                <w:b w:val="0"/>
                <w:color w:val="1C1A22"/>
                <w:sz w:val="19"/>
              </w:rPr>
              <w:t>Fluctuation depth</w:t>
            </w:r>
          </w:p>
        </w:tc>
        <w:tc>
          <w:tcPr>
            <w:tcW w:type="dxa" w:w="4082"/>
            <w:vAlign w:val="center"/>
          </w:tcPr>
          <w:p>
            <w:pPr>
              <w:spacing w:before="0" w:after="0"/>
            </w:pPr>
            <w:r>
              <w:rPr>
                <w:rFonts w:ascii="Calibri" w:hAnsi="Calibri"/>
                <w:b w:val="0"/>
                <w:color w:val="1C1A22"/>
                <w:sz w:val="19"/>
              </w:rPr>
              <w:t>0 – 25% of a cycle</w:t>
            </w:r>
          </w:p>
        </w:tc>
        <w:tc>
          <w:tcPr>
            <w:tcW w:type="dxa" w:w="2041"/>
            <w:vAlign w:val="center"/>
          </w:tcPr>
          <w:p>
            <w:pPr>
              <w:spacing w:before="0" w:after="0"/>
            </w:pPr>
            <w:r>
              <w:rPr>
                <w:rFonts w:ascii="Calibri" w:hAnsi="Calibri"/>
                <w:b w:val="0"/>
                <w:color w:val="1C1A22"/>
                <w:sz w:val="19"/>
              </w:rPr>
              <w:t>3%</w:t>
            </w:r>
          </w:p>
        </w:tc>
      </w:tr>
      <w:tr>
        <w:tc>
          <w:tcPr>
            <w:tcW w:type="dxa" w:w="3061"/>
            <w:vAlign w:val="center"/>
          </w:tcPr>
          <w:p>
            <w:pPr>
              <w:spacing w:before="0" w:after="0"/>
            </w:pPr>
            <w:r>
              <w:rPr>
                <w:rFonts w:ascii="Calibri" w:hAnsi="Calibri"/>
                <w:b w:val="0"/>
                <w:color w:val="1C1A22"/>
                <w:sz w:val="19"/>
              </w:rPr>
              <w:t>Length multiplier</w:t>
            </w:r>
          </w:p>
        </w:tc>
        <w:tc>
          <w:tcPr>
            <w:tcW w:type="dxa" w:w="4082"/>
            <w:vAlign w:val="center"/>
          </w:tcPr>
          <w:p>
            <w:pPr>
              <w:spacing w:before="0" w:after="0"/>
            </w:pPr>
            <w:r>
              <w:rPr>
                <w:rFonts w:ascii="Calibri" w:hAnsi="Calibri"/>
                <w:b w:val="0"/>
                <w:color w:val="1C1A22"/>
                <w:sz w:val="19"/>
              </w:rPr>
              <w:t>0.25 – 2.0 ×</w:t>
            </w:r>
          </w:p>
        </w:tc>
        <w:tc>
          <w:tcPr>
            <w:tcW w:type="dxa" w:w="2041"/>
            <w:vAlign w:val="center"/>
          </w:tcPr>
          <w:p>
            <w:pPr>
              <w:spacing w:before="0" w:after="0"/>
            </w:pPr>
            <w:r>
              <w:rPr>
                <w:rFonts w:ascii="Calibri" w:hAnsi="Calibri"/>
                <w:b w:val="0"/>
                <w:color w:val="1C1A22"/>
                <w:sz w:val="19"/>
              </w:rPr>
              <w:t>1.0 ×</w:t>
            </w:r>
          </w:p>
        </w:tc>
      </w:tr>
      <w:tr>
        <w:tc>
          <w:tcPr>
            <w:tcW w:type="dxa" w:w="3061"/>
            <w:vAlign w:val="center"/>
          </w:tcPr>
          <w:p>
            <w:pPr>
              <w:spacing w:before="0" w:after="0"/>
            </w:pPr>
            <w:r>
              <w:rPr>
                <w:rFonts w:ascii="Calibri" w:hAnsi="Calibri"/>
                <w:b w:val="0"/>
                <w:color w:val="1C1A22"/>
                <w:sz w:val="19"/>
              </w:rPr>
              <w:t>Coupling</w:t>
            </w:r>
          </w:p>
        </w:tc>
        <w:tc>
          <w:tcPr>
            <w:tcW w:type="dxa" w:w="4082"/>
            <w:vAlign w:val="center"/>
          </w:tcPr>
          <w:p>
            <w:pPr>
              <w:spacing w:before="0" w:after="0"/>
            </w:pPr>
            <w:r>
              <w:rPr>
                <w:rFonts w:ascii="Calibri" w:hAnsi="Calibri"/>
                <w:b w:val="0"/>
                <w:color w:val="1C1A22"/>
                <w:sz w:val="19"/>
              </w:rPr>
              <w:t>0 – 0.06</w:t>
            </w:r>
          </w:p>
        </w:tc>
        <w:tc>
          <w:tcPr>
            <w:tcW w:type="dxa" w:w="2041"/>
            <w:vAlign w:val="center"/>
          </w:tcPr>
          <w:p>
            <w:pPr>
              <w:spacing w:before="0" w:after="0"/>
            </w:pPr>
            <w:r>
              <w:rPr>
                <w:rFonts w:ascii="Calibri" w:hAnsi="Calibri"/>
                <w:b w:val="0"/>
                <w:color w:val="1C1A22"/>
                <w:sz w:val="19"/>
              </w:rPr>
              <w:t>0.02</w:t>
            </w:r>
          </w:p>
        </w:tc>
      </w:tr>
      <w:tr>
        <w:tc>
          <w:tcPr>
            <w:tcW w:type="dxa" w:w="3061"/>
            <w:vAlign w:val="center"/>
          </w:tcPr>
          <w:p>
            <w:pPr>
              <w:spacing w:before="0" w:after="0"/>
            </w:pPr>
            <w:r>
              <w:rPr>
                <w:rFonts w:ascii="Calibri" w:hAnsi="Calibri"/>
                <w:b w:val="0"/>
                <w:color w:val="1C1A22"/>
                <w:sz w:val="19"/>
              </w:rPr>
              <w:t>Orbit period</w:t>
            </w:r>
          </w:p>
        </w:tc>
        <w:tc>
          <w:tcPr>
            <w:tcW w:type="dxa" w:w="4082"/>
            <w:vAlign w:val="center"/>
          </w:tcPr>
          <w:p>
            <w:pPr>
              <w:spacing w:before="0" w:after="0"/>
            </w:pPr>
            <w:r>
              <w:rPr>
                <w:rFonts w:ascii="Calibri" w:hAnsi="Calibri"/>
                <w:b w:val="0"/>
                <w:color w:val="1C1A22"/>
                <w:sz w:val="19"/>
              </w:rPr>
              <w:t>8 – 300 s</w:t>
            </w:r>
          </w:p>
        </w:tc>
        <w:tc>
          <w:tcPr>
            <w:tcW w:type="dxa" w:w="2041"/>
            <w:vAlign w:val="center"/>
          </w:tcPr>
          <w:p>
            <w:pPr>
              <w:spacing w:before="0" w:after="0"/>
            </w:pPr>
            <w:r>
              <w:rPr>
                <w:rFonts w:ascii="Calibri" w:hAnsi="Calibri"/>
                <w:b w:val="0"/>
                <w:color w:val="1C1A22"/>
                <w:sz w:val="19"/>
              </w:rPr>
              <w:t>72 s</w:t>
            </w:r>
          </w:p>
        </w:tc>
      </w:tr>
      <w:tr>
        <w:tc>
          <w:tcPr>
            <w:tcW w:type="dxa" w:w="3061"/>
            <w:vAlign w:val="center"/>
          </w:tcPr>
          <w:p>
            <w:pPr>
              <w:spacing w:before="0" w:after="0"/>
            </w:pPr>
            <w:r>
              <w:rPr>
                <w:rFonts w:ascii="Calibri" w:hAnsi="Calibri"/>
                <w:b w:val="0"/>
                <w:color w:val="1C1A22"/>
                <w:sz w:val="19"/>
              </w:rPr>
              <w:t>Quantisation strength</w:t>
            </w:r>
          </w:p>
        </w:tc>
        <w:tc>
          <w:tcPr>
            <w:tcW w:type="dxa" w:w="4082"/>
            <w:vAlign w:val="center"/>
          </w:tcPr>
          <w:p>
            <w:pPr>
              <w:spacing w:before="0" w:after="0"/>
            </w:pPr>
            <w:r>
              <w:rPr>
                <w:rFonts w:ascii="Calibri" w:hAnsi="Calibri"/>
                <w:b w:val="0"/>
                <w:color w:val="1C1A22"/>
                <w:sz w:val="19"/>
              </w:rPr>
              <w:t>0 – 100%</w:t>
            </w:r>
          </w:p>
        </w:tc>
        <w:tc>
          <w:tcPr>
            <w:tcW w:type="dxa" w:w="2041"/>
            <w:vAlign w:val="center"/>
          </w:tcPr>
          <w:p>
            <w:pPr>
              <w:spacing w:before="0" w:after="0"/>
            </w:pPr>
            <w:r>
              <w:rPr>
                <w:rFonts w:ascii="Calibri" w:hAnsi="Calibri"/>
                <w:b w:val="0"/>
                <w:color w:val="1C1A22"/>
                <w:sz w:val="19"/>
              </w:rPr>
              <w:t>0</w:t>
            </w:r>
          </w:p>
        </w:tc>
      </w:tr>
      <w:tr>
        <w:tc>
          <w:tcPr>
            <w:tcW w:type="dxa" w:w="3061"/>
            <w:vAlign w:val="center"/>
          </w:tcPr>
          <w:p>
            <w:pPr>
              <w:spacing w:before="0" w:after="0"/>
            </w:pPr>
            <w:r>
              <w:rPr>
                <w:rFonts w:ascii="Calibri" w:hAnsi="Calibri"/>
                <w:b w:val="0"/>
                <w:color w:val="1C1A22"/>
                <w:sz w:val="19"/>
              </w:rPr>
              <w:t>Quantisation grid</w:t>
            </w:r>
          </w:p>
        </w:tc>
        <w:tc>
          <w:tcPr>
            <w:tcW w:type="dxa" w:w="4082"/>
            <w:vAlign w:val="center"/>
          </w:tcPr>
          <w:p>
            <w:pPr>
              <w:spacing w:before="0" w:after="0"/>
            </w:pPr>
            <w:r>
              <w:rPr>
                <w:rFonts w:ascii="Calibri" w:hAnsi="Calibri"/>
                <w:b w:val="0"/>
                <w:color w:val="1C1A22"/>
                <w:sz w:val="19"/>
              </w:rPr>
              <w:t>1, 1/2, 1/3, 1/4, 1/6, 1/8, 1/12, 1/16</w:t>
            </w:r>
          </w:p>
        </w:tc>
        <w:tc>
          <w:tcPr>
            <w:tcW w:type="dxa" w:w="2041"/>
            <w:vAlign w:val="center"/>
          </w:tcPr>
          <w:p>
            <w:pPr>
              <w:spacing w:before="0" w:after="0"/>
            </w:pPr>
            <w:r>
              <w:rPr>
                <w:rFonts w:ascii="Calibri" w:hAnsi="Calibri"/>
                <w:b w:val="0"/>
                <w:color w:val="1C1A22"/>
                <w:sz w:val="19"/>
              </w:rPr>
              <w:t>1/4</w:t>
            </w:r>
          </w:p>
        </w:tc>
      </w:tr>
      <w:tr>
        <w:tc>
          <w:tcPr>
            <w:tcW w:type="dxa" w:w="3061"/>
            <w:vAlign w:val="center"/>
          </w:tcPr>
          <w:p>
            <w:pPr>
              <w:spacing w:before="0" w:after="0"/>
            </w:pPr>
            <w:r>
              <w:rPr>
                <w:rFonts w:ascii="Calibri" w:hAnsi="Calibri"/>
                <w:b w:val="0"/>
                <w:color w:val="1C1A22"/>
                <w:sz w:val="19"/>
              </w:rPr>
              <w:t>Delay division</w:t>
            </w:r>
          </w:p>
        </w:tc>
        <w:tc>
          <w:tcPr>
            <w:tcW w:type="dxa" w:w="4082"/>
            <w:vAlign w:val="center"/>
          </w:tcPr>
          <w:p>
            <w:pPr>
              <w:spacing w:before="0" w:after="0"/>
            </w:pPr>
            <w:r>
              <w:rPr>
                <w:rFonts w:ascii="Calibri" w:hAnsi="Calibri"/>
                <w:b w:val="0"/>
                <w:color w:val="1C1A22"/>
                <w:sz w:val="19"/>
              </w:rPr>
              <w:t>1/1 – 1/16, dotted or triplet, or free</w:t>
            </w:r>
          </w:p>
        </w:tc>
        <w:tc>
          <w:tcPr>
            <w:tcW w:type="dxa" w:w="2041"/>
            <w:vAlign w:val="center"/>
          </w:tcPr>
          <w:p>
            <w:pPr>
              <w:spacing w:before="0" w:after="0"/>
            </w:pPr>
            <w:r>
              <w:rPr>
                <w:rFonts w:ascii="Calibri" w:hAnsi="Calibri"/>
                <w:b w:val="0"/>
                <w:color w:val="1C1A22"/>
                <w:sz w:val="19"/>
              </w:rPr>
              <w:t>1/2 straight</w:t>
            </w:r>
          </w:p>
        </w:tc>
      </w:tr>
      <w:tr>
        <w:tc>
          <w:tcPr>
            <w:tcW w:type="dxa" w:w="3061"/>
            <w:vAlign w:val="center"/>
          </w:tcPr>
          <w:p>
            <w:pPr>
              <w:spacing w:before="0" w:after="0"/>
            </w:pPr>
            <w:r>
              <w:rPr>
                <w:rFonts w:ascii="Calibri" w:hAnsi="Calibri"/>
                <w:b w:val="0"/>
                <w:color w:val="1C1A22"/>
                <w:sz w:val="19"/>
              </w:rPr>
              <w:t>Delay feedback</w:t>
            </w:r>
          </w:p>
        </w:tc>
        <w:tc>
          <w:tcPr>
            <w:tcW w:type="dxa" w:w="4082"/>
            <w:vAlign w:val="center"/>
          </w:tcPr>
          <w:p>
            <w:pPr>
              <w:spacing w:before="0" w:after="0"/>
            </w:pPr>
            <w:r>
              <w:rPr>
                <w:rFonts w:ascii="Calibri" w:hAnsi="Calibri"/>
                <w:b w:val="0"/>
                <w:color w:val="1C1A22"/>
                <w:sz w:val="19"/>
              </w:rPr>
              <w:t>0 – 92%</w:t>
            </w:r>
          </w:p>
        </w:tc>
        <w:tc>
          <w:tcPr>
            <w:tcW w:type="dxa" w:w="2041"/>
            <w:vAlign w:val="center"/>
          </w:tcPr>
          <w:p>
            <w:pPr>
              <w:spacing w:before="0" w:after="0"/>
            </w:pPr>
            <w:r>
              <w:rPr>
                <w:rFonts w:ascii="Calibri" w:hAnsi="Calibri"/>
                <w:b w:val="0"/>
                <w:color w:val="1C1A22"/>
                <w:sz w:val="19"/>
              </w:rPr>
              <w:t>42%</w:t>
            </w:r>
          </w:p>
        </w:tc>
      </w:tr>
      <w:tr>
        <w:tc>
          <w:tcPr>
            <w:tcW w:type="dxa" w:w="3061"/>
            <w:vAlign w:val="center"/>
          </w:tcPr>
          <w:p>
            <w:pPr>
              <w:spacing w:before="0" w:after="0"/>
            </w:pPr>
            <w:r>
              <w:rPr>
                <w:rFonts w:ascii="Calibri" w:hAnsi="Calibri"/>
                <w:b w:val="0"/>
                <w:color w:val="1C1A22"/>
                <w:sz w:val="19"/>
              </w:rPr>
              <w:t>Delay tone</w:t>
            </w:r>
          </w:p>
        </w:tc>
        <w:tc>
          <w:tcPr>
            <w:tcW w:type="dxa" w:w="4082"/>
            <w:vAlign w:val="center"/>
          </w:tcPr>
          <w:p>
            <w:pPr>
              <w:spacing w:before="0" w:after="0"/>
            </w:pPr>
            <w:r>
              <w:rPr>
                <w:rFonts w:ascii="Calibri" w:hAnsi="Calibri"/>
                <w:b w:val="0"/>
                <w:color w:val="1C1A22"/>
                <w:sz w:val="19"/>
              </w:rPr>
              <w:t>700 Hz – 12 kHz</w:t>
            </w:r>
          </w:p>
        </w:tc>
        <w:tc>
          <w:tcPr>
            <w:tcW w:type="dxa" w:w="2041"/>
            <w:vAlign w:val="center"/>
          </w:tcPr>
          <w:p>
            <w:pPr>
              <w:spacing w:before="0" w:after="0"/>
            </w:pPr>
            <w:r>
              <w:rPr>
                <w:rFonts w:ascii="Calibri" w:hAnsi="Calibri"/>
                <w:b w:val="0"/>
                <w:color w:val="1C1A22"/>
                <w:sz w:val="19"/>
              </w:rPr>
              <w:t>3.8 kHz</w:t>
            </w:r>
          </w:p>
        </w:tc>
      </w:tr>
      <w:tr>
        <w:tc>
          <w:tcPr>
            <w:tcW w:type="dxa" w:w="3061"/>
            <w:vAlign w:val="center"/>
          </w:tcPr>
          <w:p>
            <w:pPr>
              <w:spacing w:before="0" w:after="0"/>
            </w:pPr>
            <w:r>
              <w:rPr>
                <w:rFonts w:ascii="Calibri" w:hAnsi="Calibri"/>
                <w:b w:val="0"/>
                <w:color w:val="1C1A22"/>
                <w:sz w:val="19"/>
              </w:rPr>
              <w:t>Delay send</w:t>
            </w:r>
          </w:p>
        </w:tc>
        <w:tc>
          <w:tcPr>
            <w:tcW w:type="dxa" w:w="4082"/>
            <w:vAlign w:val="center"/>
          </w:tcPr>
          <w:p>
            <w:pPr>
              <w:spacing w:before="0" w:after="0"/>
            </w:pPr>
            <w:r>
              <w:rPr>
                <w:rFonts w:ascii="Calibri" w:hAnsi="Calibri"/>
                <w:b w:val="0"/>
                <w:color w:val="1C1A22"/>
                <w:sz w:val="19"/>
              </w:rPr>
              <w:t>0 – 100%</w:t>
            </w:r>
          </w:p>
        </w:tc>
        <w:tc>
          <w:tcPr>
            <w:tcW w:type="dxa" w:w="2041"/>
            <w:vAlign w:val="center"/>
          </w:tcPr>
          <w:p>
            <w:pPr>
              <w:spacing w:before="0" w:after="0"/>
            </w:pPr>
            <w:r>
              <w:rPr>
                <w:rFonts w:ascii="Calibri" w:hAnsi="Calibri"/>
                <w:b w:val="0"/>
                <w:color w:val="1C1A22"/>
                <w:sz w:val="19"/>
              </w:rPr>
              <w:t>0%</w:t>
            </w:r>
          </w:p>
        </w:tc>
      </w:tr>
      <w:tr>
        <w:tc>
          <w:tcPr>
            <w:tcW w:type="dxa" w:w="3061"/>
            <w:vAlign w:val="center"/>
          </w:tcPr>
          <w:p>
            <w:pPr>
              <w:spacing w:before="0" w:after="0"/>
            </w:pPr>
            <w:r>
              <w:rPr>
                <w:rFonts w:ascii="Calibri" w:hAnsi="Calibri"/>
                <w:b w:val="0"/>
                <w:color w:val="1C1A22"/>
                <w:sz w:val="19"/>
              </w:rPr>
              <w:t>Room size</w:t>
            </w:r>
          </w:p>
        </w:tc>
        <w:tc>
          <w:tcPr>
            <w:tcW w:type="dxa" w:w="4082"/>
            <w:vAlign w:val="center"/>
          </w:tcPr>
          <w:p>
            <w:pPr>
              <w:spacing w:before="0" w:after="0"/>
            </w:pPr>
            <w:r>
              <w:rPr>
                <w:rFonts w:ascii="Calibri" w:hAnsi="Calibri"/>
                <w:b w:val="0"/>
                <w:color w:val="1C1A22"/>
                <w:sz w:val="19"/>
              </w:rPr>
              <w:t>0.3 – 6.0 s</w:t>
            </w:r>
          </w:p>
        </w:tc>
        <w:tc>
          <w:tcPr>
            <w:tcW w:type="dxa" w:w="2041"/>
            <w:vAlign w:val="center"/>
          </w:tcPr>
          <w:p>
            <w:pPr>
              <w:spacing w:before="0" w:after="0"/>
            </w:pPr>
            <w:r>
              <w:rPr>
                <w:rFonts w:ascii="Calibri" w:hAnsi="Calibri"/>
                <w:b w:val="0"/>
                <w:color w:val="1C1A22"/>
                <w:sz w:val="19"/>
              </w:rPr>
              <w:t>1.0 s</w:t>
            </w:r>
          </w:p>
        </w:tc>
      </w:tr>
      <w:tr>
        <w:tc>
          <w:tcPr>
            <w:tcW w:type="dxa" w:w="3061"/>
            <w:vAlign w:val="center"/>
          </w:tcPr>
          <w:p>
            <w:pPr>
              <w:spacing w:before="0" w:after="0"/>
            </w:pPr>
            <w:r>
              <w:rPr>
                <w:rFonts w:ascii="Calibri" w:hAnsi="Calibri"/>
                <w:b w:val="0"/>
                <w:color w:val="1C1A22"/>
                <w:sz w:val="19"/>
              </w:rPr>
              <w:t>Room damping</w:t>
            </w:r>
          </w:p>
        </w:tc>
        <w:tc>
          <w:tcPr>
            <w:tcW w:type="dxa" w:w="4082"/>
            <w:vAlign w:val="center"/>
          </w:tcPr>
          <w:p>
            <w:pPr>
              <w:spacing w:before="0" w:after="0"/>
            </w:pPr>
            <w:r>
              <w:rPr>
                <w:rFonts w:ascii="Calibri" w:hAnsi="Calibri"/>
                <w:b w:val="0"/>
                <w:color w:val="1C1A22"/>
                <w:sz w:val="19"/>
              </w:rPr>
              <w:t>0 – 100%</w:t>
            </w:r>
          </w:p>
        </w:tc>
        <w:tc>
          <w:tcPr>
            <w:tcW w:type="dxa" w:w="2041"/>
            <w:vAlign w:val="center"/>
          </w:tcPr>
          <w:p>
            <w:pPr>
              <w:spacing w:before="0" w:after="0"/>
            </w:pPr>
            <w:r>
              <w:rPr>
                <w:rFonts w:ascii="Calibri" w:hAnsi="Calibri"/>
                <w:b w:val="0"/>
                <w:color w:val="1C1A22"/>
                <w:sz w:val="19"/>
              </w:rPr>
              <w:t>20%</w:t>
            </w:r>
          </w:p>
        </w:tc>
      </w:tr>
      <w:tr>
        <w:tc>
          <w:tcPr>
            <w:tcW w:type="dxa" w:w="3061"/>
            <w:vAlign w:val="center"/>
          </w:tcPr>
          <w:p>
            <w:pPr>
              <w:spacing w:before="0" w:after="0"/>
            </w:pPr>
            <w:r>
              <w:rPr>
                <w:rFonts w:ascii="Calibri" w:hAnsi="Calibri"/>
                <w:b w:val="0"/>
                <w:color w:val="1C1A22"/>
                <w:sz w:val="19"/>
              </w:rPr>
              <w:t>Room pre-delay</w:t>
            </w:r>
          </w:p>
        </w:tc>
        <w:tc>
          <w:tcPr>
            <w:tcW w:type="dxa" w:w="4082"/>
            <w:vAlign w:val="center"/>
          </w:tcPr>
          <w:p>
            <w:pPr>
              <w:spacing w:before="0" w:after="0"/>
            </w:pPr>
            <w:r>
              <w:rPr>
                <w:rFonts w:ascii="Calibri" w:hAnsi="Calibri"/>
                <w:b w:val="0"/>
                <w:color w:val="1C1A22"/>
                <w:sz w:val="19"/>
              </w:rPr>
              <w:t>0 – 140 ms</w:t>
            </w:r>
          </w:p>
        </w:tc>
        <w:tc>
          <w:tcPr>
            <w:tcW w:type="dxa" w:w="2041"/>
            <w:vAlign w:val="center"/>
          </w:tcPr>
          <w:p>
            <w:pPr>
              <w:spacing w:before="0" w:after="0"/>
            </w:pPr>
            <w:r>
              <w:rPr>
                <w:rFonts w:ascii="Calibri" w:hAnsi="Calibri"/>
                <w:b w:val="0"/>
                <w:color w:val="1C1A22"/>
                <w:sz w:val="19"/>
              </w:rPr>
              <w:t>20 ms</w:t>
            </w:r>
          </w:p>
        </w:tc>
      </w:tr>
      <w:tr>
        <w:tc>
          <w:tcPr>
            <w:tcW w:type="dxa" w:w="3061"/>
            <w:vAlign w:val="center"/>
          </w:tcPr>
          <w:p>
            <w:pPr>
              <w:spacing w:before="0" w:after="0"/>
            </w:pPr>
            <w:r>
              <w:rPr>
                <w:rFonts w:ascii="Calibri" w:hAnsi="Calibri"/>
                <w:b w:val="0"/>
                <w:color w:val="1C1A22"/>
                <w:sz w:val="19"/>
              </w:rPr>
              <w:t>Room send</w:t>
            </w:r>
          </w:p>
        </w:tc>
        <w:tc>
          <w:tcPr>
            <w:tcW w:type="dxa" w:w="4082"/>
            <w:vAlign w:val="center"/>
          </w:tcPr>
          <w:p>
            <w:pPr>
              <w:spacing w:before="0" w:after="0"/>
            </w:pPr>
            <w:r>
              <w:rPr>
                <w:rFonts w:ascii="Calibri" w:hAnsi="Calibri"/>
                <w:b w:val="0"/>
                <w:color w:val="1C1A22"/>
                <w:sz w:val="19"/>
              </w:rPr>
              <w:t>0 – 100%</w:t>
            </w:r>
          </w:p>
        </w:tc>
        <w:tc>
          <w:tcPr>
            <w:tcW w:type="dxa" w:w="2041"/>
            <w:vAlign w:val="center"/>
          </w:tcPr>
          <w:p>
            <w:pPr>
              <w:spacing w:before="0" w:after="0"/>
            </w:pPr>
            <w:r>
              <w:rPr>
                <w:rFonts w:ascii="Calibri" w:hAnsi="Calibri"/>
                <w:b w:val="0"/>
                <w:color w:val="1C1A22"/>
                <w:sz w:val="19"/>
              </w:rPr>
              <w:t>2.5%</w:t>
            </w:r>
          </w:p>
        </w:tc>
      </w:tr>
      <w:tr>
        <w:tc>
          <w:tcPr>
            <w:tcW w:type="dxa" w:w="3061"/>
            <w:vAlign w:val="center"/>
          </w:tcPr>
          <w:p>
            <w:pPr>
              <w:spacing w:before="0" w:after="0"/>
            </w:pPr>
            <w:r>
              <w:rPr>
                <w:rFonts w:ascii="Calibri" w:hAnsi="Calibri"/>
                <w:b w:val="0"/>
                <w:color w:val="1C1A22"/>
                <w:sz w:val="19"/>
              </w:rPr>
              <w:t>Stop fade</w:t>
            </w:r>
          </w:p>
        </w:tc>
        <w:tc>
          <w:tcPr>
            <w:tcW w:type="dxa" w:w="4082"/>
            <w:vAlign w:val="center"/>
          </w:tcPr>
          <w:p>
            <w:pPr>
              <w:spacing w:before="0" w:after="0"/>
            </w:pPr>
            <w:r>
              <w:rPr>
                <w:rFonts w:ascii="Calibri" w:hAnsi="Calibri"/>
                <w:b w:val="0"/>
                <w:color w:val="1C1A22"/>
                <w:sz w:val="19"/>
              </w:rPr>
              <w:t>3 – 60 s</w:t>
            </w:r>
          </w:p>
        </w:tc>
        <w:tc>
          <w:tcPr>
            <w:tcW w:type="dxa" w:w="2041"/>
            <w:vAlign w:val="center"/>
          </w:tcPr>
          <w:p>
            <w:pPr>
              <w:spacing w:before="0" w:after="0"/>
            </w:pPr>
            <w:r>
              <w:rPr>
                <w:rFonts w:ascii="Calibri" w:hAnsi="Calibri"/>
                <w:b w:val="0"/>
                <w:color w:val="1C1A22"/>
                <w:sz w:val="19"/>
              </w:rPr>
              <w:t>12 s</w:t>
            </w:r>
          </w:p>
        </w:tc>
      </w:tr>
      <w:tr>
        <w:tc>
          <w:tcPr>
            <w:tcW w:type="dxa" w:w="3061"/>
            <w:vAlign w:val="center"/>
          </w:tcPr>
          <w:p>
            <w:pPr>
              <w:spacing w:before="0" w:after="0"/>
            </w:pPr>
            <w:r>
              <w:rPr>
                <w:rFonts w:ascii="Calibri" w:hAnsi="Calibri"/>
                <w:b w:val="0"/>
                <w:color w:val="1C1A22"/>
                <w:sz w:val="19"/>
              </w:rPr>
              <w:t>Alignment threshold</w:t>
            </w:r>
          </w:p>
        </w:tc>
        <w:tc>
          <w:tcPr>
            <w:tcW w:type="dxa" w:w="4082"/>
            <w:vAlign w:val="center"/>
          </w:tcPr>
          <w:p>
            <w:pPr>
              <w:spacing w:before="0" w:after="0"/>
            </w:pPr>
            <w:r>
              <w:rPr>
                <w:rFonts w:ascii="Calibri" w:hAnsi="Calibri"/>
                <w:b w:val="0"/>
                <w:color w:val="1C1A22"/>
                <w:sz w:val="19"/>
              </w:rPr>
              <w:t>50 – 99.5%</w:t>
            </w:r>
          </w:p>
        </w:tc>
        <w:tc>
          <w:tcPr>
            <w:tcW w:type="dxa" w:w="2041"/>
            <w:vAlign w:val="center"/>
          </w:tcPr>
          <w:p>
            <w:pPr>
              <w:spacing w:before="0" w:after="0"/>
            </w:pPr>
            <w:r>
              <w:rPr>
                <w:rFonts w:ascii="Calibri" w:hAnsi="Calibri"/>
                <w:b w:val="0"/>
                <w:color w:val="1C1A22"/>
                <w:sz w:val="19"/>
              </w:rPr>
              <w:t>93%</w:t>
            </w:r>
          </w:p>
        </w:tc>
      </w:tr>
      <w:tr>
        <w:tc>
          <w:tcPr>
            <w:tcW w:type="dxa" w:w="3061"/>
            <w:vAlign w:val="center"/>
          </w:tcPr>
          <w:p>
            <w:pPr>
              <w:spacing w:before="0" w:after="0"/>
            </w:pPr>
            <w:r>
              <w:rPr>
                <w:rFonts w:ascii="Calibri" w:hAnsi="Calibri"/>
                <w:b w:val="0"/>
                <w:color w:val="1C1A22"/>
                <w:sz w:val="19"/>
              </w:rPr>
              <w:t>Capture pre-roll</w:t>
            </w:r>
          </w:p>
        </w:tc>
        <w:tc>
          <w:tcPr>
            <w:tcW w:type="dxa" w:w="4082"/>
            <w:vAlign w:val="center"/>
          </w:tcPr>
          <w:p>
            <w:pPr>
              <w:spacing w:before="0" w:after="0"/>
            </w:pPr>
            <w:r>
              <w:rPr>
                <w:rFonts w:ascii="Calibri" w:hAnsi="Calibri"/>
                <w:b w:val="0"/>
                <w:color w:val="1C1A22"/>
                <w:sz w:val="19"/>
              </w:rPr>
              <w:t>0 – 15 s</w:t>
            </w:r>
          </w:p>
        </w:tc>
        <w:tc>
          <w:tcPr>
            <w:tcW w:type="dxa" w:w="2041"/>
            <w:vAlign w:val="center"/>
          </w:tcPr>
          <w:p>
            <w:pPr>
              <w:spacing w:before="0" w:after="0"/>
            </w:pPr>
            <w:r>
              <w:rPr>
                <w:rFonts w:ascii="Calibri" w:hAnsi="Calibri"/>
                <w:b w:val="0"/>
                <w:color w:val="1C1A22"/>
                <w:sz w:val="19"/>
              </w:rPr>
              <w:t>4 s</w:t>
            </w:r>
          </w:p>
        </w:tc>
      </w:tr>
      <w:tr>
        <w:tc>
          <w:tcPr>
            <w:tcW w:type="dxa" w:w="3061"/>
            <w:vAlign w:val="center"/>
          </w:tcPr>
          <w:p>
            <w:pPr>
              <w:spacing w:before="0" w:after="0"/>
            </w:pPr>
            <w:r>
              <w:rPr>
                <w:rFonts w:ascii="Calibri" w:hAnsi="Calibri"/>
                <w:b w:val="0"/>
                <w:color w:val="1C1A22"/>
                <w:sz w:val="19"/>
              </w:rPr>
              <w:t>Stochastic chance</w:t>
            </w:r>
          </w:p>
        </w:tc>
        <w:tc>
          <w:tcPr>
            <w:tcW w:type="dxa" w:w="4082"/>
            <w:vAlign w:val="center"/>
          </w:tcPr>
          <w:p>
            <w:pPr>
              <w:spacing w:before="0" w:after="0"/>
            </w:pPr>
            <w:r>
              <w:rPr>
                <w:rFonts w:ascii="Calibri" w:hAnsi="Calibri"/>
                <w:b w:val="0"/>
                <w:color w:val="1C1A22"/>
                <w:sz w:val="19"/>
              </w:rPr>
              <w:t>1 – 100% per bar</w:t>
            </w:r>
          </w:p>
        </w:tc>
        <w:tc>
          <w:tcPr>
            <w:tcW w:type="dxa" w:w="2041"/>
            <w:vAlign w:val="center"/>
          </w:tcPr>
          <w:p>
            <w:pPr>
              <w:spacing w:before="0" w:after="0"/>
            </w:pPr>
            <w:r>
              <w:rPr>
                <w:rFonts w:ascii="Calibri" w:hAnsi="Calibri"/>
                <w:b w:val="0"/>
                <w:color w:val="1C1A22"/>
                <w:sz w:val="19"/>
              </w:rPr>
              <w:t>18%</w:t>
            </w:r>
          </w:p>
        </w:tc>
      </w:tr>
      <w:tr>
        <w:tc>
          <w:tcPr>
            <w:tcW w:type="dxa" w:w="3061"/>
            <w:vAlign w:val="center"/>
          </w:tcPr>
          <w:p>
            <w:pPr>
              <w:spacing w:before="0" w:after="0"/>
            </w:pPr>
            <w:r>
              <w:rPr>
                <w:rFonts w:ascii="Calibri" w:hAnsi="Calibri"/>
                <w:b w:val="0"/>
                <w:color w:val="1C1A22"/>
                <w:sz w:val="19"/>
              </w:rPr>
              <w:t>Stochastic clip length</w:t>
            </w:r>
          </w:p>
        </w:tc>
        <w:tc>
          <w:tcPr>
            <w:tcW w:type="dxa" w:w="4082"/>
            <w:vAlign w:val="center"/>
          </w:tcPr>
          <w:p>
            <w:pPr>
              <w:spacing w:before="0" w:after="0"/>
            </w:pPr>
            <w:r>
              <w:rPr>
                <w:rFonts w:ascii="Calibri" w:hAnsi="Calibri"/>
                <w:b w:val="0"/>
                <w:color w:val="1C1A22"/>
                <w:sz w:val="19"/>
              </w:rPr>
              <w:t>1 – 30 s</w:t>
            </w:r>
          </w:p>
        </w:tc>
        <w:tc>
          <w:tcPr>
            <w:tcW w:type="dxa" w:w="2041"/>
            <w:vAlign w:val="center"/>
          </w:tcPr>
          <w:p>
            <w:pPr>
              <w:spacing w:before="0" w:after="0"/>
            </w:pPr>
            <w:r>
              <w:rPr>
                <w:rFonts w:ascii="Calibri" w:hAnsi="Calibri"/>
                <w:b w:val="0"/>
                <w:color w:val="1C1A22"/>
                <w:sz w:val="19"/>
              </w:rPr>
              <w:t>4 – 12 s</w:t>
            </w:r>
          </w:p>
        </w:tc>
      </w:tr>
      <w:tr>
        <w:tc>
          <w:tcPr>
            <w:tcW w:type="dxa" w:w="3061"/>
            <w:vAlign w:val="center"/>
          </w:tcPr>
          <w:p>
            <w:pPr>
              <w:spacing w:before="0" w:after="0"/>
            </w:pPr>
            <w:r>
              <w:rPr>
                <w:rFonts w:ascii="Calibri" w:hAnsi="Calibri"/>
                <w:b w:val="0"/>
                <w:color w:val="1C1A22"/>
                <w:sz w:val="19"/>
              </w:rPr>
              <w:t>Stochastic budget</w:t>
            </w:r>
          </w:p>
        </w:tc>
        <w:tc>
          <w:tcPr>
            <w:tcW w:type="dxa" w:w="4082"/>
            <w:vAlign w:val="center"/>
          </w:tcPr>
          <w:p>
            <w:pPr>
              <w:spacing w:before="0" w:after="0"/>
            </w:pPr>
            <w:r>
              <w:rPr>
                <w:rFonts w:ascii="Calibri" w:hAnsi="Calibri"/>
                <w:b w:val="0"/>
                <w:color w:val="1C1A22"/>
                <w:sz w:val="19"/>
              </w:rPr>
              <w:t>1 – 40 clips</w:t>
            </w:r>
          </w:p>
        </w:tc>
        <w:tc>
          <w:tcPr>
            <w:tcW w:type="dxa" w:w="2041"/>
            <w:vAlign w:val="center"/>
          </w:tcPr>
          <w:p>
            <w:pPr>
              <w:spacing w:before="0" w:after="0"/>
            </w:pPr>
            <w:r>
              <w:rPr>
                <w:rFonts w:ascii="Calibri" w:hAnsi="Calibri"/>
                <w:b w:val="0"/>
                <w:color w:val="1C1A22"/>
                <w:sz w:val="19"/>
              </w:rPr>
              <w:t>10</w:t>
            </w:r>
          </w:p>
        </w:tc>
      </w:tr>
    </w:tbl>
    <w:p/>
    <w:p>
      <w:r>
        <w:br w:type="page"/>
      </w:r>
    </w:p>
    <w:p>
      <w:pPr>
        <w:pStyle w:val="Heading1"/>
      </w:pPr>
      <w:r>
        <w:t>Appendix B: Built-in material library</w:t>
      </w:r>
    </w:p>
    <w:tbl>
      <w:tblPr>
        <w:tblW w:type="auto" w:w="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Layout w:type="fixed"/>
        <w:tblLook w:firstColumn="1" w:firstRow="1" w:lastColumn="0" w:lastRow="0" w:noHBand="0" w:noVBand="1" w:val="04A0"/>
      </w:tblPr>
      <w:tblGrid>
        <w:gridCol w:w="3120"/>
        <w:gridCol w:w="3120"/>
        <w:gridCol w:w="3120"/>
      </w:tblGrid>
      <w:tr>
        <w:trPr>
          <w:cantSplit/>
          <w:tblHeader w:val="true"/>
        </w:trPr>
        <w:tc>
          <w:tcPr>
            <w:tcW w:type="dxa" w:w="1701"/>
            <w:shd w:fill="F2F4F7"/>
            <w:vAlign w:val="center"/>
          </w:tcPr>
          <w:p>
            <w:pPr>
              <w:spacing w:before="0" w:after="0"/>
            </w:pPr>
            <w:r>
              <w:rPr>
                <w:rFonts w:ascii="Calibri" w:hAnsi="Calibri"/>
                <w:b/>
                <w:color w:val="1C1A22"/>
                <w:sz w:val="19"/>
              </w:rPr>
              <w:t>Generator</w:t>
            </w:r>
          </w:p>
        </w:tc>
        <w:tc>
          <w:tcPr>
            <w:tcW w:type="dxa" w:w="1474"/>
            <w:shd w:fill="F2F4F7"/>
            <w:vAlign w:val="center"/>
          </w:tcPr>
          <w:p>
            <w:pPr>
              <w:spacing w:before="0" w:after="0"/>
            </w:pPr>
            <w:r>
              <w:rPr>
                <w:rFonts w:ascii="Calibri" w:hAnsi="Calibri"/>
                <w:b/>
                <w:color w:val="1C1A22"/>
                <w:sz w:val="19"/>
              </w:rPr>
              <w:t>Group</w:t>
            </w:r>
          </w:p>
        </w:tc>
        <w:tc>
          <w:tcPr>
            <w:tcW w:type="dxa" w:w="6009"/>
            <w:shd w:fill="F2F4F7"/>
            <w:vAlign w:val="center"/>
          </w:tcPr>
          <w:p>
            <w:pPr>
              <w:spacing w:before="0" w:after="0"/>
            </w:pPr>
            <w:r>
              <w:rPr>
                <w:rFonts w:ascii="Calibri" w:hAnsi="Calibri"/>
                <w:b/>
                <w:color w:val="1C1A22"/>
                <w:sz w:val="19"/>
              </w:rPr>
              <w:t>Construction</w:t>
            </w:r>
          </w:p>
        </w:tc>
      </w:tr>
      <w:tr>
        <w:tc>
          <w:tcPr>
            <w:tcW w:type="dxa" w:w="1701"/>
            <w:vAlign w:val="center"/>
          </w:tcPr>
          <w:p>
            <w:pPr>
              <w:spacing w:before="0" w:after="0"/>
            </w:pPr>
            <w:r>
              <w:rPr>
                <w:rFonts w:ascii="Calibri" w:hAnsi="Calibri"/>
                <w:b w:val="0"/>
                <w:color w:val="1C1A22"/>
                <w:sz w:val="19"/>
              </w:rPr>
              <w:t>marimba</w:t>
            </w:r>
          </w:p>
        </w:tc>
        <w:tc>
          <w:tcPr>
            <w:tcW w:type="dxa" w:w="1474"/>
            <w:vAlign w:val="center"/>
          </w:tcPr>
          <w:p>
            <w:pPr>
              <w:spacing w:before="0" w:after="0"/>
            </w:pPr>
            <w:r>
              <w:rPr>
                <w:rFonts w:ascii="Calibri" w:hAnsi="Calibri"/>
                <w:b w:val="0"/>
                <w:color w:val="1C1A22"/>
                <w:sz w:val="19"/>
              </w:rPr>
              <w:t>Pattern</w:t>
            </w:r>
          </w:p>
        </w:tc>
        <w:tc>
          <w:tcPr>
            <w:tcW w:type="dxa" w:w="6009"/>
            <w:vAlign w:val="center"/>
          </w:tcPr>
          <w:p>
            <w:pPr>
              <w:spacing w:before="0" w:after="0"/>
            </w:pPr>
            <w:r>
              <w:rPr>
                <w:rFonts w:ascii="Calibri" w:hAnsi="Calibri"/>
                <w:b w:val="0"/>
                <w:color w:val="1C1A22"/>
                <w:sz w:val="19"/>
              </w:rPr>
              <w:t>Twelve-event mallet figure; three partials at 1, 4.1, 9.2 with 420 ms decay.</w:t>
            </w:r>
          </w:p>
        </w:tc>
      </w:tr>
      <w:tr>
        <w:tc>
          <w:tcPr>
            <w:tcW w:type="dxa" w:w="1701"/>
            <w:vAlign w:val="center"/>
          </w:tcPr>
          <w:p>
            <w:pPr>
              <w:spacing w:before="0" w:after="0"/>
            </w:pPr>
            <w:r>
              <w:rPr>
                <w:rFonts w:ascii="Calibri" w:hAnsi="Calibri"/>
                <w:b w:val="0"/>
                <w:color w:val="1C1A22"/>
                <w:sz w:val="19"/>
              </w:rPr>
              <w:t>piano</w:t>
            </w:r>
          </w:p>
        </w:tc>
        <w:tc>
          <w:tcPr>
            <w:tcW w:type="dxa" w:w="1474"/>
            <w:vAlign w:val="center"/>
          </w:tcPr>
          <w:p>
            <w:pPr>
              <w:spacing w:before="0" w:after="0"/>
            </w:pPr>
            <w:r>
              <w:rPr>
                <w:rFonts w:ascii="Calibri" w:hAnsi="Calibri"/>
                <w:b w:val="0"/>
                <w:color w:val="1C1A22"/>
                <w:sz w:val="19"/>
              </w:rPr>
              <w:t>Pattern</w:t>
            </w:r>
          </w:p>
        </w:tc>
        <w:tc>
          <w:tcPr>
            <w:tcW w:type="dxa" w:w="6009"/>
            <w:vAlign w:val="center"/>
          </w:tcPr>
          <w:p>
            <w:pPr>
              <w:spacing w:before="0" w:after="0"/>
            </w:pPr>
            <w:r>
              <w:rPr>
                <w:rFonts w:ascii="Calibri" w:hAnsi="Calibri"/>
                <w:b w:val="0"/>
                <w:color w:val="1C1A22"/>
                <w:sz w:val="19"/>
              </w:rPr>
              <w:t>The same twelve-event figure with a five-partial near-harmonic spectrum and longer decay.</w:t>
            </w:r>
          </w:p>
        </w:tc>
      </w:tr>
      <w:tr>
        <w:tc>
          <w:tcPr>
            <w:tcW w:type="dxa" w:w="1701"/>
            <w:vAlign w:val="center"/>
          </w:tcPr>
          <w:p>
            <w:pPr>
              <w:spacing w:before="0" w:after="0"/>
            </w:pPr>
            <w:r>
              <w:rPr>
                <w:rFonts w:ascii="Calibri" w:hAnsi="Calibri"/>
                <w:b w:val="0"/>
                <w:color w:val="1C1A22"/>
                <w:sz w:val="19"/>
              </w:rPr>
              <w:t>vibraphone</w:t>
            </w:r>
          </w:p>
        </w:tc>
        <w:tc>
          <w:tcPr>
            <w:tcW w:type="dxa" w:w="1474"/>
            <w:vAlign w:val="center"/>
          </w:tcPr>
          <w:p>
            <w:pPr>
              <w:spacing w:before="0" w:after="0"/>
            </w:pPr>
            <w:r>
              <w:rPr>
                <w:rFonts w:ascii="Calibri" w:hAnsi="Calibri"/>
                <w:b w:val="0"/>
                <w:color w:val="1C1A22"/>
                <w:sz w:val="19"/>
              </w:rPr>
              <w:t>Pattern</w:t>
            </w:r>
          </w:p>
        </w:tc>
        <w:tc>
          <w:tcPr>
            <w:tcW w:type="dxa" w:w="6009"/>
            <w:vAlign w:val="center"/>
          </w:tcPr>
          <w:p>
            <w:pPr>
              <w:spacing w:before="0" w:after="0"/>
            </w:pPr>
            <w:r>
              <w:rPr>
                <w:rFonts w:ascii="Calibri" w:hAnsi="Calibri"/>
                <w:b w:val="0"/>
                <w:color w:val="1C1A22"/>
                <w:sz w:val="19"/>
              </w:rPr>
              <w:t>Five sustained bar strikes at 2.2 s decay beneath a 5.4 Hz tremolo.</w:t>
            </w:r>
          </w:p>
        </w:tc>
      </w:tr>
      <w:tr>
        <w:tc>
          <w:tcPr>
            <w:tcW w:type="dxa" w:w="1701"/>
            <w:vAlign w:val="center"/>
          </w:tcPr>
          <w:p>
            <w:pPr>
              <w:spacing w:before="0" w:after="0"/>
            </w:pPr>
            <w:r>
              <w:rPr>
                <w:rFonts w:ascii="Calibri" w:hAnsi="Calibri"/>
                <w:b w:val="0"/>
                <w:color w:val="1C1A22"/>
                <w:sz w:val="19"/>
              </w:rPr>
              <w:t>pulse</w:t>
            </w:r>
          </w:p>
        </w:tc>
        <w:tc>
          <w:tcPr>
            <w:tcW w:type="dxa" w:w="1474"/>
            <w:vAlign w:val="center"/>
          </w:tcPr>
          <w:p>
            <w:pPr>
              <w:spacing w:before="0" w:after="0"/>
            </w:pPr>
            <w:r>
              <w:rPr>
                <w:rFonts w:ascii="Calibri" w:hAnsi="Calibri"/>
                <w:b w:val="0"/>
                <w:color w:val="1C1A22"/>
                <w:sz w:val="19"/>
              </w:rPr>
              <w:t>Pattern</w:t>
            </w:r>
          </w:p>
        </w:tc>
        <w:tc>
          <w:tcPr>
            <w:tcW w:type="dxa" w:w="6009"/>
            <w:vAlign w:val="center"/>
          </w:tcPr>
          <w:p>
            <w:pPr>
              <w:spacing w:before="0" w:after="0"/>
            </w:pPr>
            <w:r>
              <w:rPr>
                <w:rFonts w:ascii="Calibri" w:hAnsi="Calibri"/>
                <w:b w:val="0"/>
                <w:color w:val="1C1A22"/>
                <w:sz w:val="19"/>
              </w:rPr>
              <w:t>Four breath-length swells on a four-note chord, each voice slightly detuned.</w:t>
            </w:r>
          </w:p>
        </w:tc>
      </w:tr>
      <w:tr>
        <w:tc>
          <w:tcPr>
            <w:tcW w:type="dxa" w:w="1701"/>
            <w:vAlign w:val="center"/>
          </w:tcPr>
          <w:p>
            <w:pPr>
              <w:spacing w:before="0" w:after="0"/>
            </w:pPr>
            <w:r>
              <w:rPr>
                <w:rFonts w:ascii="Calibri" w:hAnsi="Calibri"/>
                <w:b w:val="0"/>
                <w:color w:val="1C1A22"/>
                <w:sz w:val="19"/>
              </w:rPr>
              <w:t>clap</w:t>
            </w:r>
          </w:p>
        </w:tc>
        <w:tc>
          <w:tcPr>
            <w:tcW w:type="dxa" w:w="1474"/>
            <w:vAlign w:val="center"/>
          </w:tcPr>
          <w:p>
            <w:pPr>
              <w:spacing w:before="0" w:after="0"/>
            </w:pPr>
            <w:r>
              <w:rPr>
                <w:rFonts w:ascii="Calibri" w:hAnsi="Calibri"/>
                <w:b w:val="0"/>
                <w:color w:val="1C1A22"/>
                <w:sz w:val="19"/>
              </w:rPr>
              <w:t>Pattern</w:t>
            </w:r>
          </w:p>
        </w:tc>
        <w:tc>
          <w:tcPr>
            <w:tcW w:type="dxa" w:w="6009"/>
            <w:vAlign w:val="center"/>
          </w:tcPr>
          <w:p>
            <w:pPr>
              <w:spacing w:before="0" w:after="0"/>
            </w:pPr>
            <w:r>
              <w:rPr>
                <w:rFonts w:ascii="Calibri" w:hAnsi="Calibri"/>
                <w:b w:val="0"/>
                <w:color w:val="1C1A22"/>
                <w:sz w:val="19"/>
              </w:rPr>
              <w:t>Twelve-eighth cell 111011010110; three band-filtered noise layers per event.</w:t>
            </w:r>
          </w:p>
        </w:tc>
      </w:tr>
      <w:tr>
        <w:tc>
          <w:tcPr>
            <w:tcW w:type="dxa" w:w="1701"/>
            <w:vAlign w:val="center"/>
          </w:tcPr>
          <w:p>
            <w:pPr>
              <w:spacing w:before="0" w:after="0"/>
            </w:pPr>
            <w:r>
              <w:rPr>
                <w:rFonts w:ascii="Calibri" w:hAnsi="Calibri"/>
                <w:b w:val="0"/>
                <w:color w:val="1C1A22"/>
                <w:sz w:val="19"/>
              </w:rPr>
              <w:t>prepared</w:t>
            </w:r>
          </w:p>
        </w:tc>
        <w:tc>
          <w:tcPr>
            <w:tcW w:type="dxa" w:w="1474"/>
            <w:vAlign w:val="center"/>
          </w:tcPr>
          <w:p>
            <w:pPr>
              <w:spacing w:before="0" w:after="0"/>
            </w:pPr>
            <w:r>
              <w:rPr>
                <w:rFonts w:ascii="Calibri" w:hAnsi="Calibri"/>
                <w:b w:val="0"/>
                <w:color w:val="1C1A22"/>
                <w:sz w:val="19"/>
              </w:rPr>
              <w:t>Prepared</w:t>
            </w:r>
          </w:p>
        </w:tc>
        <w:tc>
          <w:tcPr>
            <w:tcW w:type="dxa" w:w="6009"/>
            <w:vAlign w:val="center"/>
          </w:tcPr>
          <w:p>
            <w:pPr>
              <w:spacing w:before="0" w:after="0"/>
            </w:pPr>
            <w:r>
              <w:rPr>
                <w:rFonts w:ascii="Calibri" w:hAnsi="Calibri"/>
                <w:b w:val="0"/>
                <w:color w:val="1C1A22"/>
                <w:sz w:val="19"/>
              </w:rPr>
              <w:t>Eight events alternating damped thuds with inharmonic partials at 1, 1.73, 3.31, 6.2.</w:t>
            </w:r>
          </w:p>
        </w:tc>
      </w:tr>
      <w:tr>
        <w:tc>
          <w:tcPr>
            <w:tcW w:type="dxa" w:w="1701"/>
            <w:vAlign w:val="center"/>
          </w:tcPr>
          <w:p>
            <w:pPr>
              <w:spacing w:before="0" w:after="0"/>
            </w:pPr>
            <w:r>
              <w:rPr>
                <w:rFonts w:ascii="Calibri" w:hAnsi="Calibri"/>
                <w:b w:val="0"/>
                <w:color w:val="1C1A22"/>
                <w:sz w:val="19"/>
              </w:rPr>
              <w:t>toy</w:t>
            </w:r>
          </w:p>
        </w:tc>
        <w:tc>
          <w:tcPr>
            <w:tcW w:type="dxa" w:w="1474"/>
            <w:vAlign w:val="center"/>
          </w:tcPr>
          <w:p>
            <w:pPr>
              <w:spacing w:before="0" w:after="0"/>
            </w:pPr>
            <w:r>
              <w:rPr>
                <w:rFonts w:ascii="Calibri" w:hAnsi="Calibri"/>
                <w:b w:val="0"/>
                <w:color w:val="1C1A22"/>
                <w:sz w:val="19"/>
              </w:rPr>
              <w:t>Prepared</w:t>
            </w:r>
          </w:p>
        </w:tc>
        <w:tc>
          <w:tcPr>
            <w:tcW w:type="dxa" w:w="6009"/>
            <w:vAlign w:val="center"/>
          </w:tcPr>
          <w:p>
            <w:pPr>
              <w:spacing w:before="0" w:after="0"/>
            </w:pPr>
            <w:r>
              <w:rPr>
                <w:rFonts w:ascii="Calibri" w:hAnsi="Calibri"/>
                <w:b w:val="0"/>
                <w:color w:val="1C1A22"/>
                <w:sz w:val="19"/>
              </w:rPr>
              <w:t>Eight short bright strikes, detuned ±0.6%, with partials at 3.4, 7.1, 11.6.</w:t>
            </w:r>
          </w:p>
        </w:tc>
      </w:tr>
      <w:tr>
        <w:tc>
          <w:tcPr>
            <w:tcW w:type="dxa" w:w="1701"/>
            <w:vAlign w:val="center"/>
          </w:tcPr>
          <w:p>
            <w:pPr>
              <w:spacing w:before="0" w:after="0"/>
            </w:pPr>
            <w:r>
              <w:rPr>
                <w:rFonts w:ascii="Calibri" w:hAnsi="Calibri"/>
                <w:b w:val="0"/>
                <w:color w:val="1C1A22"/>
                <w:sz w:val="19"/>
              </w:rPr>
              <w:t>radio</w:t>
            </w:r>
          </w:p>
        </w:tc>
        <w:tc>
          <w:tcPr>
            <w:tcW w:type="dxa" w:w="1474"/>
            <w:vAlign w:val="center"/>
          </w:tcPr>
          <w:p>
            <w:pPr>
              <w:spacing w:before="0" w:after="0"/>
            </w:pPr>
            <w:r>
              <w:rPr>
                <w:rFonts w:ascii="Calibri" w:hAnsi="Calibri"/>
                <w:b w:val="0"/>
                <w:color w:val="1C1A22"/>
                <w:sz w:val="19"/>
              </w:rPr>
              <w:t>Prepared</w:t>
            </w:r>
          </w:p>
        </w:tc>
        <w:tc>
          <w:tcPr>
            <w:tcW w:type="dxa" w:w="6009"/>
            <w:vAlign w:val="center"/>
          </w:tcPr>
          <w:p>
            <w:pPr>
              <w:spacing w:before="0" w:after="0"/>
            </w:pPr>
            <w:r>
              <w:rPr>
                <w:rFonts w:ascii="Calibri" w:hAnsi="Calibri"/>
                <w:b w:val="0"/>
                <w:color w:val="1C1A22"/>
                <w:sz w:val="19"/>
              </w:rPr>
              <w:t>Continuous band-swept noise with nine interference bursts and stray carriers.</w:t>
            </w:r>
          </w:p>
        </w:tc>
      </w:tr>
      <w:tr>
        <w:tc>
          <w:tcPr>
            <w:tcW w:type="dxa" w:w="1701"/>
            <w:vAlign w:val="center"/>
          </w:tcPr>
          <w:p>
            <w:pPr>
              <w:spacing w:before="0" w:after="0"/>
            </w:pPr>
            <w:r>
              <w:rPr>
                <w:rFonts w:ascii="Calibri" w:hAnsi="Calibri"/>
                <w:b w:val="0"/>
                <w:color w:val="1C1A22"/>
                <w:sz w:val="19"/>
              </w:rPr>
              <w:t>water</w:t>
            </w:r>
          </w:p>
        </w:tc>
        <w:tc>
          <w:tcPr>
            <w:tcW w:type="dxa" w:w="1474"/>
            <w:vAlign w:val="center"/>
          </w:tcPr>
          <w:p>
            <w:pPr>
              <w:spacing w:before="0" w:after="0"/>
            </w:pPr>
            <w:r>
              <w:rPr>
                <w:rFonts w:ascii="Calibri" w:hAnsi="Calibri"/>
                <w:b w:val="0"/>
                <w:color w:val="1C1A22"/>
                <w:sz w:val="19"/>
              </w:rPr>
              <w:t>Prepared</w:t>
            </w:r>
          </w:p>
        </w:tc>
        <w:tc>
          <w:tcPr>
            <w:tcW w:type="dxa" w:w="6009"/>
            <w:vAlign w:val="center"/>
          </w:tcPr>
          <w:p>
            <w:pPr>
              <w:spacing w:before="0" w:after="0"/>
            </w:pPr>
            <w:r>
              <w:rPr>
                <w:rFonts w:ascii="Calibri" w:hAnsi="Calibri"/>
                <w:b w:val="0"/>
                <w:color w:val="1C1A22"/>
                <w:sz w:val="19"/>
              </w:rPr>
              <w:t>Eleven pitch-swept drips with resonant partners, randomly distributed.</w:t>
            </w:r>
          </w:p>
        </w:tc>
      </w:tr>
      <w:tr>
        <w:tc>
          <w:tcPr>
            <w:tcW w:type="dxa" w:w="1701"/>
            <w:vAlign w:val="center"/>
          </w:tcPr>
          <w:p>
            <w:pPr>
              <w:spacing w:before="0" w:after="0"/>
            </w:pPr>
            <w:r>
              <w:rPr>
                <w:rFonts w:ascii="Calibri" w:hAnsi="Calibri"/>
                <w:b w:val="0"/>
                <w:color w:val="1C1A22"/>
                <w:sz w:val="19"/>
              </w:rPr>
              <w:t>gliss</w:t>
            </w:r>
          </w:p>
        </w:tc>
        <w:tc>
          <w:tcPr>
            <w:tcW w:type="dxa" w:w="1474"/>
            <w:vAlign w:val="center"/>
          </w:tcPr>
          <w:p>
            <w:pPr>
              <w:spacing w:before="0" w:after="0"/>
            </w:pPr>
            <w:r>
              <w:rPr>
                <w:rFonts w:ascii="Calibri" w:hAnsi="Calibri"/>
                <w:b w:val="0"/>
                <w:color w:val="1C1A22"/>
                <w:sz w:val="19"/>
              </w:rPr>
              <w:t>Mass</w:t>
            </w:r>
          </w:p>
        </w:tc>
        <w:tc>
          <w:tcPr>
            <w:tcW w:type="dxa" w:w="6009"/>
            <w:vAlign w:val="center"/>
          </w:tcPr>
          <w:p>
            <w:pPr>
              <w:spacing w:before="0" w:after="0"/>
            </w:pPr>
            <w:r>
              <w:rPr>
                <w:rFonts w:ascii="Calibri" w:hAnsi="Calibri"/>
                <w:b w:val="0"/>
                <w:color w:val="1C1A22"/>
                <w:sz w:val="19"/>
              </w:rPr>
              <w:t>Eight crossing glissandi across a three-octave span, overlapping in time.</w:t>
            </w:r>
          </w:p>
        </w:tc>
      </w:tr>
      <w:tr>
        <w:tc>
          <w:tcPr>
            <w:tcW w:type="dxa" w:w="1701"/>
            <w:vAlign w:val="center"/>
          </w:tcPr>
          <w:p>
            <w:pPr>
              <w:spacing w:before="0" w:after="0"/>
            </w:pPr>
            <w:r>
              <w:rPr>
                <w:rFonts w:ascii="Calibri" w:hAnsi="Calibri"/>
                <w:b w:val="0"/>
                <w:color w:val="1C1A22"/>
                <w:sz w:val="19"/>
              </w:rPr>
              <w:t>cloud</w:t>
            </w:r>
          </w:p>
        </w:tc>
        <w:tc>
          <w:tcPr>
            <w:tcW w:type="dxa" w:w="1474"/>
            <w:vAlign w:val="center"/>
          </w:tcPr>
          <w:p>
            <w:pPr>
              <w:spacing w:before="0" w:after="0"/>
            </w:pPr>
            <w:r>
              <w:rPr>
                <w:rFonts w:ascii="Calibri" w:hAnsi="Calibri"/>
                <w:b w:val="0"/>
                <w:color w:val="1C1A22"/>
                <w:sz w:val="19"/>
              </w:rPr>
              <w:t>Mass</w:t>
            </w:r>
          </w:p>
        </w:tc>
        <w:tc>
          <w:tcPr>
            <w:tcW w:type="dxa" w:w="6009"/>
            <w:vAlign w:val="center"/>
          </w:tcPr>
          <w:p>
            <w:pPr>
              <w:spacing w:before="0" w:after="0"/>
            </w:pPr>
            <w:r>
              <w:rPr>
                <w:rFonts w:ascii="Calibri" w:hAnsi="Calibri"/>
                <w:b w:val="0"/>
                <w:color w:val="1C1A22"/>
                <w:sz w:val="19"/>
              </w:rPr>
              <w:t>150 grains rejection-sampled against an arched density function.</w:t>
            </w:r>
          </w:p>
        </w:tc>
      </w:tr>
      <w:tr>
        <w:tc>
          <w:tcPr>
            <w:tcW w:type="dxa" w:w="1701"/>
            <w:vAlign w:val="center"/>
          </w:tcPr>
          <w:p>
            <w:pPr>
              <w:spacing w:before="0" w:after="0"/>
            </w:pPr>
            <w:r>
              <w:rPr>
                <w:rFonts w:ascii="Calibri" w:hAnsi="Calibri"/>
                <w:b w:val="0"/>
                <w:color w:val="1C1A22"/>
                <w:sz w:val="19"/>
              </w:rPr>
              <w:t>swarm</w:t>
            </w:r>
          </w:p>
        </w:tc>
        <w:tc>
          <w:tcPr>
            <w:tcW w:type="dxa" w:w="1474"/>
            <w:vAlign w:val="center"/>
          </w:tcPr>
          <w:p>
            <w:pPr>
              <w:spacing w:before="0" w:after="0"/>
            </w:pPr>
            <w:r>
              <w:rPr>
                <w:rFonts w:ascii="Calibri" w:hAnsi="Calibri"/>
                <w:b w:val="0"/>
                <w:color w:val="1C1A22"/>
                <w:sz w:val="19"/>
              </w:rPr>
              <w:t>Mass</w:t>
            </w:r>
          </w:p>
        </w:tc>
        <w:tc>
          <w:tcPr>
            <w:tcW w:type="dxa" w:w="6009"/>
            <w:vAlign w:val="center"/>
          </w:tcPr>
          <w:p>
            <w:pPr>
              <w:spacing w:before="0" w:after="0"/>
            </w:pPr>
            <w:r>
              <w:rPr>
                <w:rFonts w:ascii="Calibri" w:hAnsi="Calibri"/>
                <w:b w:val="0"/>
                <w:color w:val="1C1A22"/>
                <w:sz w:val="19"/>
              </w:rPr>
              <w:t>46 events across three timbral classes: skins, woods and metal.</w:t>
            </w:r>
          </w:p>
        </w:tc>
      </w:tr>
      <w:tr>
        <w:tc>
          <w:tcPr>
            <w:tcW w:type="dxa" w:w="1701"/>
            <w:vAlign w:val="center"/>
          </w:tcPr>
          <w:p>
            <w:pPr>
              <w:spacing w:before="0" w:after="0"/>
            </w:pPr>
            <w:r>
              <w:rPr>
                <w:rFonts w:ascii="Calibri" w:hAnsi="Calibri"/>
                <w:b w:val="0"/>
                <w:color w:val="1C1A22"/>
                <w:sz w:val="19"/>
              </w:rPr>
              <w:t>sieve</w:t>
            </w:r>
          </w:p>
        </w:tc>
        <w:tc>
          <w:tcPr>
            <w:tcW w:type="dxa" w:w="1474"/>
            <w:vAlign w:val="center"/>
          </w:tcPr>
          <w:p>
            <w:pPr>
              <w:spacing w:before="0" w:after="0"/>
            </w:pPr>
            <w:r>
              <w:rPr>
                <w:rFonts w:ascii="Calibri" w:hAnsi="Calibri"/>
                <w:b w:val="0"/>
                <w:color w:val="1C1A22"/>
                <w:sz w:val="19"/>
              </w:rPr>
              <w:t>Mass</w:t>
            </w:r>
          </w:p>
        </w:tc>
        <w:tc>
          <w:tcPr>
            <w:tcW w:type="dxa" w:w="6009"/>
            <w:vAlign w:val="center"/>
          </w:tcPr>
          <w:p>
            <w:pPr>
              <w:spacing w:before="0" w:after="0"/>
            </w:pPr>
            <w:r>
              <w:rPr>
                <w:rFonts w:ascii="Calibri" w:hAnsi="Calibri"/>
                <w:b w:val="0"/>
                <w:color w:val="1C1A22"/>
                <w:sz w:val="19"/>
              </w:rPr>
              <w:t>24-step grid populated from a ten-interval sieve across three octaves.</w:t>
            </w:r>
          </w:p>
        </w:tc>
      </w:tr>
      <w:tr>
        <w:tc>
          <w:tcPr>
            <w:tcW w:type="dxa" w:w="1701"/>
            <w:vAlign w:val="center"/>
          </w:tcPr>
          <w:p>
            <w:pPr>
              <w:spacing w:before="0" w:after="0"/>
            </w:pPr>
            <w:r>
              <w:rPr>
                <w:rFonts w:ascii="Calibri" w:hAnsi="Calibri"/>
                <w:b w:val="0"/>
                <w:color w:val="1C1A22"/>
                <w:sz w:val="19"/>
              </w:rPr>
              <w:t>drone</w:t>
            </w:r>
          </w:p>
        </w:tc>
        <w:tc>
          <w:tcPr>
            <w:tcW w:type="dxa" w:w="1474"/>
            <w:vAlign w:val="center"/>
          </w:tcPr>
          <w:p>
            <w:pPr>
              <w:spacing w:before="0" w:after="0"/>
            </w:pPr>
            <w:r>
              <w:rPr>
                <w:rFonts w:ascii="Calibri" w:hAnsi="Calibri"/>
                <w:b w:val="0"/>
                <w:color w:val="1C1A22"/>
                <w:sz w:val="19"/>
              </w:rPr>
              <w:t>Bed</w:t>
            </w:r>
          </w:p>
        </w:tc>
        <w:tc>
          <w:tcPr>
            <w:tcW w:type="dxa" w:w="6009"/>
            <w:vAlign w:val="center"/>
          </w:tcPr>
          <w:p>
            <w:pPr>
              <w:spacing w:before="0" w:after="0"/>
            </w:pPr>
            <w:r>
              <w:rPr>
                <w:rFonts w:ascii="Calibri" w:hAnsi="Calibri"/>
                <w:b w:val="0"/>
                <w:color w:val="1C1A22"/>
                <w:sz w:val="19"/>
              </w:rPr>
              <w:t>Four near-unison partials detuned by up to 1.1%, producing slow beating.</w:t>
            </w:r>
          </w:p>
        </w:tc>
      </w:tr>
      <w:tr>
        <w:tc>
          <w:tcPr>
            <w:tcW w:type="dxa" w:w="1701"/>
            <w:vAlign w:val="center"/>
          </w:tcPr>
          <w:p>
            <w:pPr>
              <w:spacing w:before="0" w:after="0"/>
            </w:pPr>
            <w:r>
              <w:rPr>
                <w:rFonts w:ascii="Calibri" w:hAnsi="Calibri"/>
                <w:b w:val="0"/>
                <w:color w:val="1C1A22"/>
                <w:sz w:val="19"/>
              </w:rPr>
              <w:t>glass</w:t>
            </w:r>
          </w:p>
        </w:tc>
        <w:tc>
          <w:tcPr>
            <w:tcW w:type="dxa" w:w="1474"/>
            <w:vAlign w:val="center"/>
          </w:tcPr>
          <w:p>
            <w:pPr>
              <w:spacing w:before="0" w:after="0"/>
            </w:pPr>
            <w:r>
              <w:rPr>
                <w:rFonts w:ascii="Calibri" w:hAnsi="Calibri"/>
                <w:b w:val="0"/>
                <w:color w:val="1C1A22"/>
                <w:sz w:val="19"/>
              </w:rPr>
              <w:t>Bed</w:t>
            </w:r>
          </w:p>
        </w:tc>
        <w:tc>
          <w:tcPr>
            <w:tcW w:type="dxa" w:w="6009"/>
            <w:vAlign w:val="center"/>
          </w:tcPr>
          <w:p>
            <w:pPr>
              <w:spacing w:before="0" w:after="0"/>
            </w:pPr>
            <w:r>
              <w:rPr>
                <w:rFonts w:ascii="Calibri" w:hAnsi="Calibri"/>
                <w:b w:val="0"/>
                <w:color w:val="1C1A22"/>
                <w:sz w:val="19"/>
              </w:rPr>
              <w:t>Open four-voice chord with independent slow vibrato per voice.</w:t>
            </w:r>
          </w:p>
        </w:tc>
      </w:tr>
    </w:tbl>
    <w:p/>
    <w:p>
      <w:r>
        <w:t>All generators render deterministically from a seed derived from the generator name, so that two parts using the same generator hold identical buffers.</w:t>
      </w:r>
    </w:p>
    <w:p>
      <w:r>
        <w:br w:type="page"/>
      </w:r>
    </w:p>
    <w:p>
      <w:pPr>
        <w:pStyle w:val="Heading1"/>
      </w:pPr>
      <w:r>
        <w:t>Appendix C: Preset definitions</w:t>
      </w:r>
    </w:p>
    <w:tbl>
      <w:tblPr>
        <w:tblW w:type="auto" w:w="0"/>
        <w:tblInd w:w="120" w:type="dxa"/>
        <w:tblBorders>
          <w:top w:val="single" w:sz="5" w:space="0" w:color="C7C9CE"/>
          <w:left w:val="single" w:sz="5" w:space="0" w:color="C7C9CE"/>
          <w:bottom w:val="single" w:sz="5" w:space="0" w:color="C7C9CE"/>
          <w:right w:val="single" w:sz="5" w:space="0" w:color="C7C9CE"/>
          <w:insideH w:val="single" w:sz="5" w:space="0" w:color="C7C9CE"/>
          <w:insideV w:val="single" w:sz="5" w:space="0" w:color="C7C9CE"/>
        </w:tblBorders>
        <w:tblLayout w:type="fixed"/>
        <w:tblLook w:firstColumn="1" w:firstRow="1" w:lastColumn="0" w:lastRow="0" w:noHBand="0" w:noVBand="1" w:val="04A0"/>
      </w:tblPr>
      <w:tblGrid>
        <w:gridCol w:w="2340"/>
        <w:gridCol w:w="2340"/>
        <w:gridCol w:w="2340"/>
        <w:gridCol w:w="2340"/>
      </w:tblGrid>
      <w:tr>
        <w:trPr>
          <w:cantSplit/>
          <w:tblHeader w:val="true"/>
        </w:trPr>
        <w:tc>
          <w:tcPr>
            <w:tcW w:type="dxa" w:w="1928"/>
            <w:shd w:fill="F2F4F7"/>
            <w:vAlign w:val="center"/>
          </w:tcPr>
          <w:p>
            <w:pPr>
              <w:spacing w:before="0" w:after="0"/>
            </w:pPr>
            <w:r>
              <w:rPr>
                <w:rFonts w:ascii="Calibri" w:hAnsi="Calibri"/>
                <w:b/>
                <w:color w:val="1C1A22"/>
                <w:sz w:val="19"/>
              </w:rPr>
              <w:t>Preset</w:t>
            </w:r>
          </w:p>
        </w:tc>
        <w:tc>
          <w:tcPr>
            <w:tcW w:type="dxa" w:w="907"/>
            <w:shd w:fill="F2F4F7"/>
            <w:vAlign w:val="center"/>
          </w:tcPr>
          <w:p>
            <w:pPr>
              <w:spacing w:before="0" w:after="0"/>
            </w:pPr>
            <w:r>
              <w:rPr>
                <w:rFonts w:ascii="Calibri" w:hAnsi="Calibri"/>
                <w:b/>
                <w:color w:val="1C1A22"/>
                <w:sz w:val="19"/>
              </w:rPr>
              <w:t>Parts</w:t>
            </w:r>
          </w:p>
        </w:tc>
        <w:tc>
          <w:tcPr>
            <w:tcW w:type="dxa" w:w="1247"/>
            <w:shd w:fill="F2F4F7"/>
            <w:vAlign w:val="center"/>
          </w:tcPr>
          <w:p>
            <w:pPr>
              <w:spacing w:before="0" w:after="0"/>
            </w:pPr>
            <w:r>
              <w:rPr>
                <w:rFonts w:ascii="Calibri" w:hAnsi="Calibri"/>
                <w:b/>
                <w:color w:val="1C1A22"/>
                <w:sz w:val="19"/>
              </w:rPr>
              <w:t>Mode</w:t>
            </w:r>
          </w:p>
        </w:tc>
        <w:tc>
          <w:tcPr>
            <w:tcW w:type="dxa" w:w="5102"/>
            <w:shd w:fill="F2F4F7"/>
            <w:vAlign w:val="center"/>
          </w:tcPr>
          <w:p>
            <w:pPr>
              <w:spacing w:before="0" w:after="0"/>
            </w:pPr>
            <w:r>
              <w:rPr>
                <w:rFonts w:ascii="Calibri" w:hAnsi="Calibri"/>
                <w:b/>
                <w:color w:val="1C1A22"/>
                <w:sz w:val="19"/>
              </w:rPr>
              <w:t>Character</w:t>
            </w:r>
          </w:p>
        </w:tc>
      </w:tr>
      <w:tr>
        <w:tc>
          <w:tcPr>
            <w:tcW w:type="dxa" w:w="1928"/>
            <w:vAlign w:val="center"/>
          </w:tcPr>
          <w:p>
            <w:pPr>
              <w:spacing w:before="0" w:after="0"/>
            </w:pPr>
            <w:r>
              <w:rPr>
                <w:rFonts w:ascii="Calibri" w:hAnsi="Calibri"/>
                <w:b w:val="0"/>
                <w:color w:val="1C1A22"/>
                <w:sz w:val="19"/>
              </w:rPr>
              <w:t>Two Pianos</w:t>
            </w:r>
          </w:p>
        </w:tc>
        <w:tc>
          <w:tcPr>
            <w:tcW w:type="dxa" w:w="907"/>
            <w:vAlign w:val="center"/>
          </w:tcPr>
          <w:p>
            <w:pPr>
              <w:spacing w:before="0" w:after="0"/>
            </w:pPr>
            <w:r>
              <w:rPr>
                <w:rFonts w:ascii="Calibri" w:hAnsi="Calibri"/>
                <w:b w:val="0"/>
                <w:color w:val="1C1A22"/>
                <w:sz w:val="19"/>
              </w:rPr>
              <w:t>2</w:t>
            </w:r>
          </w:p>
        </w:tc>
        <w:tc>
          <w:tcPr>
            <w:tcW w:type="dxa" w:w="1247"/>
            <w:vAlign w:val="center"/>
          </w:tcPr>
          <w:p>
            <w:pPr>
              <w:spacing w:before="0" w:after="0"/>
            </w:pPr>
            <w:r>
              <w:rPr>
                <w:rFonts w:ascii="Calibri" w:hAnsi="Calibri"/>
                <w:b w:val="0"/>
                <w:color w:val="1C1A22"/>
                <w:sz w:val="19"/>
              </w:rPr>
              <w:t>Free</w:t>
            </w:r>
          </w:p>
        </w:tc>
        <w:tc>
          <w:tcPr>
            <w:tcW w:type="dxa" w:w="5102"/>
            <w:vAlign w:val="center"/>
          </w:tcPr>
          <w:p>
            <w:pPr>
              <w:spacing w:before="0" w:after="0"/>
            </w:pPr>
            <w:r>
              <w:rPr>
                <w:rFonts w:ascii="Calibri" w:hAnsi="Calibri"/>
                <w:b w:val="0"/>
                <w:color w:val="1C1A22"/>
                <w:sz w:val="19"/>
              </w:rPr>
              <w:t>Identical figures, one running 0.35% fast, unbounded. The canonical case.</w:t>
            </w:r>
          </w:p>
        </w:tc>
      </w:tr>
      <w:tr>
        <w:tc>
          <w:tcPr>
            <w:tcW w:type="dxa" w:w="1928"/>
            <w:vAlign w:val="center"/>
          </w:tcPr>
          <w:p>
            <w:pPr>
              <w:spacing w:before="0" w:after="0"/>
            </w:pPr>
            <w:r>
              <w:rPr>
                <w:rFonts w:ascii="Calibri" w:hAnsi="Calibri"/>
                <w:b w:val="0"/>
                <w:color w:val="1C1A22"/>
                <w:sz w:val="19"/>
              </w:rPr>
              <w:t>Hands, Twelve</w:t>
            </w:r>
          </w:p>
        </w:tc>
        <w:tc>
          <w:tcPr>
            <w:tcW w:type="dxa" w:w="907"/>
            <w:vAlign w:val="center"/>
          </w:tcPr>
          <w:p>
            <w:pPr>
              <w:spacing w:before="0" w:after="0"/>
            </w:pPr>
            <w:r>
              <w:rPr>
                <w:rFonts w:ascii="Calibri" w:hAnsi="Calibri"/>
                <w:b w:val="0"/>
                <w:color w:val="1C1A22"/>
                <w:sz w:val="19"/>
              </w:rPr>
              <w:t>2</w:t>
            </w:r>
          </w:p>
        </w:tc>
        <w:tc>
          <w:tcPr>
            <w:tcW w:type="dxa" w:w="1247"/>
            <w:vAlign w:val="center"/>
          </w:tcPr>
          <w:p>
            <w:pPr>
              <w:spacing w:before="0" w:after="0"/>
            </w:pPr>
            <w:r>
              <w:rPr>
                <w:rFonts w:ascii="Calibri" w:hAnsi="Calibri"/>
                <w:b w:val="0"/>
                <w:color w:val="1C1A22"/>
                <w:sz w:val="19"/>
              </w:rPr>
              <w:t>Free</w:t>
            </w:r>
          </w:p>
        </w:tc>
        <w:tc>
          <w:tcPr>
            <w:tcW w:type="dxa" w:w="5102"/>
            <w:vAlign w:val="center"/>
          </w:tcPr>
          <w:p>
            <w:pPr>
              <w:spacing w:before="0" w:after="0"/>
            </w:pPr>
            <w:r>
              <w:rPr>
                <w:rFonts w:ascii="Calibri" w:hAnsi="Calibri"/>
                <w:b w:val="0"/>
                <w:color w:val="1C1A22"/>
                <w:sz w:val="19"/>
              </w:rPr>
              <w:t>Twelve-eighth cells at full quantisation on a twelve-subdivision grid; displacement steps rather than slides.</w:t>
            </w:r>
          </w:p>
        </w:tc>
      </w:tr>
      <w:tr>
        <w:tc>
          <w:tcPr>
            <w:tcW w:type="dxa" w:w="1928"/>
            <w:vAlign w:val="center"/>
          </w:tcPr>
          <w:p>
            <w:pPr>
              <w:spacing w:before="0" w:after="0"/>
            </w:pPr>
            <w:r>
              <w:rPr>
                <w:rFonts w:ascii="Calibri" w:hAnsi="Calibri"/>
                <w:b w:val="0"/>
                <w:color w:val="1C1A22"/>
                <w:sz w:val="19"/>
              </w:rPr>
              <w:t>Breath Pulse</w:t>
            </w:r>
          </w:p>
        </w:tc>
        <w:tc>
          <w:tcPr>
            <w:tcW w:type="dxa" w:w="907"/>
            <w:vAlign w:val="center"/>
          </w:tcPr>
          <w:p>
            <w:pPr>
              <w:spacing w:before="0" w:after="0"/>
            </w:pPr>
            <w:r>
              <w:rPr>
                <w:rFonts w:ascii="Calibri" w:hAnsi="Calibri"/>
                <w:b w:val="0"/>
                <w:color w:val="1C1A22"/>
                <w:sz w:val="19"/>
              </w:rPr>
              <w:t>4</w:t>
            </w:r>
          </w:p>
        </w:tc>
        <w:tc>
          <w:tcPr>
            <w:tcW w:type="dxa" w:w="1247"/>
            <w:vAlign w:val="center"/>
          </w:tcPr>
          <w:p>
            <w:pPr>
              <w:spacing w:before="0" w:after="0"/>
            </w:pPr>
            <w:r>
              <w:rPr>
                <w:rFonts w:ascii="Calibri" w:hAnsi="Calibri"/>
                <w:b w:val="0"/>
                <w:color w:val="1C1A22"/>
                <w:sz w:val="19"/>
              </w:rPr>
              <w:t>Converge</w:t>
            </w:r>
          </w:p>
        </w:tc>
        <w:tc>
          <w:tcPr>
            <w:tcW w:type="dxa" w:w="5102"/>
            <w:vAlign w:val="center"/>
          </w:tcPr>
          <w:p>
            <w:pPr>
              <w:spacing w:before="0" w:after="0"/>
            </w:pPr>
            <w:r>
              <w:rPr>
                <w:rFonts w:ascii="Calibri" w:hAnsi="Calibri"/>
                <w:b w:val="0"/>
                <w:color w:val="1C1A22"/>
                <w:sz w:val="19"/>
              </w:rPr>
              <w:t>Pulsing chord beneath mallet interlock, tightly coupled.</w:t>
            </w:r>
          </w:p>
        </w:tc>
      </w:tr>
      <w:tr>
        <w:tc>
          <w:tcPr>
            <w:tcW w:type="dxa" w:w="1928"/>
            <w:vAlign w:val="center"/>
          </w:tcPr>
          <w:p>
            <w:pPr>
              <w:spacing w:before="0" w:after="0"/>
            </w:pPr>
            <w:r>
              <w:rPr>
                <w:rFonts w:ascii="Calibri" w:hAnsi="Calibri"/>
                <w:b w:val="0"/>
                <w:color w:val="1C1A22"/>
                <w:sz w:val="19"/>
              </w:rPr>
              <w:t>Slow Bloom</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Converge</w:t>
            </w:r>
          </w:p>
        </w:tc>
        <w:tc>
          <w:tcPr>
            <w:tcW w:type="dxa" w:w="5102"/>
            <w:vAlign w:val="center"/>
          </w:tcPr>
          <w:p>
            <w:pPr>
              <w:spacing w:before="0" w:after="0"/>
            </w:pPr>
            <w:r>
              <w:rPr>
                <w:rFonts w:ascii="Calibri" w:hAnsi="Calibri"/>
                <w:b w:val="0"/>
                <w:color w:val="1C1A22"/>
                <w:sz w:val="19"/>
              </w:rPr>
              <w:t>Drifts apart and is drawn back; bar-locked delay.</w:t>
            </w:r>
          </w:p>
        </w:tc>
      </w:tr>
      <w:tr>
        <w:tc>
          <w:tcPr>
            <w:tcW w:type="dxa" w:w="1928"/>
            <w:vAlign w:val="center"/>
          </w:tcPr>
          <w:p>
            <w:pPr>
              <w:spacing w:before="0" w:after="0"/>
            </w:pPr>
            <w:r>
              <w:rPr>
                <w:rFonts w:ascii="Calibri" w:hAnsi="Calibri"/>
                <w:b w:val="0"/>
                <w:color w:val="1C1A22"/>
                <w:sz w:val="19"/>
              </w:rPr>
              <w:t>Sieve Points</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Converge</w:t>
            </w:r>
          </w:p>
        </w:tc>
        <w:tc>
          <w:tcPr>
            <w:tcW w:type="dxa" w:w="5102"/>
            <w:vAlign w:val="center"/>
          </w:tcPr>
          <w:p>
            <w:pPr>
              <w:spacing w:before="0" w:after="0"/>
            </w:pPr>
            <w:r>
              <w:rPr>
                <w:rFonts w:ascii="Calibri" w:hAnsi="Calibri"/>
                <w:b w:val="0"/>
                <w:color w:val="1C1A22"/>
                <w:sz w:val="19"/>
              </w:rPr>
              <w:t>Pointillist pitch material converging onto a quarter-note grid.</w:t>
            </w:r>
          </w:p>
        </w:tc>
      </w:tr>
      <w:tr>
        <w:tc>
          <w:tcPr>
            <w:tcW w:type="dxa" w:w="1928"/>
            <w:vAlign w:val="center"/>
          </w:tcPr>
          <w:p>
            <w:pPr>
              <w:spacing w:before="0" w:after="0"/>
            </w:pPr>
            <w:r>
              <w:rPr>
                <w:rFonts w:ascii="Calibri" w:hAnsi="Calibri"/>
                <w:b w:val="0"/>
                <w:color w:val="1C1A22"/>
                <w:sz w:val="19"/>
              </w:rPr>
              <w:t>Prepared Table</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Free</w:t>
            </w:r>
          </w:p>
        </w:tc>
        <w:tc>
          <w:tcPr>
            <w:tcW w:type="dxa" w:w="5102"/>
            <w:vAlign w:val="center"/>
          </w:tcPr>
          <w:p>
            <w:pPr>
              <w:spacing w:before="0" w:after="0"/>
            </w:pPr>
            <w:r>
              <w:rPr>
                <w:rFonts w:ascii="Calibri" w:hAnsi="Calibri"/>
                <w:b w:val="0"/>
                <w:color w:val="1C1A22"/>
                <w:sz w:val="19"/>
              </w:rPr>
              <w:t>Prepared piano, toy piano and water, wandering without boundary.</w:t>
            </w:r>
          </w:p>
        </w:tc>
      </w:tr>
      <w:tr>
        <w:tc>
          <w:tcPr>
            <w:tcW w:type="dxa" w:w="1928"/>
            <w:vAlign w:val="center"/>
          </w:tcPr>
          <w:p>
            <w:pPr>
              <w:spacing w:before="0" w:after="0"/>
            </w:pPr>
            <w:r>
              <w:rPr>
                <w:rFonts w:ascii="Calibri" w:hAnsi="Calibri"/>
                <w:b w:val="0"/>
                <w:color w:val="1C1A22"/>
                <w:sz w:val="19"/>
              </w:rPr>
              <w:t>Sparse Field</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Diverge</w:t>
            </w:r>
          </w:p>
        </w:tc>
        <w:tc>
          <w:tcPr>
            <w:tcW w:type="dxa" w:w="5102"/>
            <w:vAlign w:val="center"/>
          </w:tcPr>
          <w:p>
            <w:pPr>
              <w:spacing w:before="0" w:after="0"/>
            </w:pPr>
            <w:r>
              <w:rPr>
                <w:rFonts w:ascii="Calibri" w:hAnsi="Calibri"/>
                <w:b w:val="0"/>
                <w:color w:val="1C1A22"/>
                <w:sz w:val="19"/>
              </w:rPr>
              <w:t>Sparse events on a triplet grid, pushed to their limits.</w:t>
            </w:r>
          </w:p>
        </w:tc>
      </w:tr>
      <w:tr>
        <w:tc>
          <w:tcPr>
            <w:tcW w:type="dxa" w:w="1928"/>
            <w:vAlign w:val="center"/>
          </w:tcPr>
          <w:p>
            <w:pPr>
              <w:spacing w:before="0" w:after="0"/>
            </w:pPr>
            <w:r>
              <w:rPr>
                <w:rFonts w:ascii="Calibri" w:hAnsi="Calibri"/>
                <w:b w:val="0"/>
                <w:color w:val="1C1A22"/>
                <w:sz w:val="19"/>
              </w:rPr>
              <w:t>Shortwave</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Orbit</w:t>
            </w:r>
          </w:p>
        </w:tc>
        <w:tc>
          <w:tcPr>
            <w:tcW w:type="dxa" w:w="5102"/>
            <w:vAlign w:val="center"/>
          </w:tcPr>
          <w:p>
            <w:pPr>
              <w:spacing w:before="0" w:after="0"/>
            </w:pPr>
            <w:r>
              <w:rPr>
                <w:rFonts w:ascii="Calibri" w:hAnsi="Calibri"/>
                <w:b w:val="0"/>
                <w:color w:val="1C1A22"/>
                <w:sz w:val="19"/>
              </w:rPr>
              <w:t>Radio, water and drone circling on a two-minute period.</w:t>
            </w:r>
          </w:p>
        </w:tc>
      </w:tr>
      <w:tr>
        <w:tc>
          <w:tcPr>
            <w:tcW w:type="dxa" w:w="1928"/>
            <w:vAlign w:val="center"/>
          </w:tcPr>
          <w:p>
            <w:pPr>
              <w:spacing w:before="0" w:after="0"/>
            </w:pPr>
            <w:r>
              <w:rPr>
                <w:rFonts w:ascii="Calibri" w:hAnsi="Calibri"/>
                <w:b w:val="0"/>
                <w:color w:val="1C1A22"/>
                <w:sz w:val="19"/>
              </w:rPr>
              <w:t>Found Objects</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Free</w:t>
            </w:r>
          </w:p>
        </w:tc>
        <w:tc>
          <w:tcPr>
            <w:tcW w:type="dxa" w:w="5102"/>
            <w:vAlign w:val="center"/>
          </w:tcPr>
          <w:p>
            <w:pPr>
              <w:spacing w:before="0" w:after="0"/>
            </w:pPr>
            <w:r>
              <w:rPr>
                <w:rFonts w:ascii="Calibri" w:hAnsi="Calibri"/>
                <w:b w:val="0"/>
                <w:color w:val="1C1A22"/>
                <w:sz w:val="19"/>
              </w:rPr>
              <w:t>Three drift targets at once — start, length and rate — at high magnitude.</w:t>
            </w:r>
          </w:p>
        </w:tc>
      </w:tr>
      <w:tr>
        <w:tc>
          <w:tcPr>
            <w:tcW w:type="dxa" w:w="1928"/>
            <w:vAlign w:val="center"/>
          </w:tcPr>
          <w:p>
            <w:pPr>
              <w:spacing w:before="0" w:after="0"/>
            </w:pPr>
            <w:r>
              <w:rPr>
                <w:rFonts w:ascii="Calibri" w:hAnsi="Calibri"/>
                <w:b w:val="0"/>
                <w:color w:val="1C1A22"/>
                <w:sz w:val="19"/>
              </w:rPr>
              <w:t>Tape Creep</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Free</w:t>
            </w:r>
          </w:p>
        </w:tc>
        <w:tc>
          <w:tcPr>
            <w:tcW w:type="dxa" w:w="5102"/>
            <w:vAlign w:val="center"/>
          </w:tcPr>
          <w:p>
            <w:pPr>
              <w:spacing w:before="0" w:after="0"/>
            </w:pPr>
            <w:r>
              <w:rPr>
                <w:rFonts w:ascii="Calibri" w:hAnsi="Calibri"/>
                <w:b w:val="0"/>
                <w:color w:val="1C1A22"/>
                <w:sz w:val="19"/>
              </w:rPr>
              <w:t>All three parts under read-position drift; heavy delay with wow.</w:t>
            </w:r>
          </w:p>
        </w:tc>
      </w:tr>
      <w:tr>
        <w:tc>
          <w:tcPr>
            <w:tcW w:type="dxa" w:w="1928"/>
            <w:vAlign w:val="center"/>
          </w:tcPr>
          <w:p>
            <w:pPr>
              <w:spacing w:before="0" w:after="0"/>
            </w:pPr>
            <w:r>
              <w:rPr>
                <w:rFonts w:ascii="Calibri" w:hAnsi="Calibri"/>
                <w:b w:val="0"/>
                <w:color w:val="1C1A22"/>
                <w:sz w:val="19"/>
              </w:rPr>
              <w:t>Glissando Mass</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Diverge</w:t>
            </w:r>
          </w:p>
        </w:tc>
        <w:tc>
          <w:tcPr>
            <w:tcW w:type="dxa" w:w="5102"/>
            <w:vAlign w:val="center"/>
          </w:tcPr>
          <w:p>
            <w:pPr>
              <w:spacing w:before="0" w:after="0"/>
            </w:pPr>
            <w:r>
              <w:rPr>
                <w:rFonts w:ascii="Calibri" w:hAnsi="Calibri"/>
                <w:b w:val="0"/>
                <w:color w:val="1C1A22"/>
                <w:sz w:val="19"/>
              </w:rPr>
              <w:t>Crossing glissandi on an eight-beat bar, driven apart.</w:t>
            </w:r>
          </w:p>
        </w:tc>
      </w:tr>
      <w:tr>
        <w:tc>
          <w:tcPr>
            <w:tcW w:type="dxa" w:w="1928"/>
            <w:vAlign w:val="center"/>
          </w:tcPr>
          <w:p>
            <w:pPr>
              <w:spacing w:before="0" w:after="0"/>
            </w:pPr>
            <w:r>
              <w:rPr>
                <w:rFonts w:ascii="Calibri" w:hAnsi="Calibri"/>
                <w:b w:val="0"/>
                <w:color w:val="1C1A22"/>
                <w:sz w:val="19"/>
              </w:rPr>
              <w:t>Grain Cloud</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Diverge</w:t>
            </w:r>
          </w:p>
        </w:tc>
        <w:tc>
          <w:tcPr>
            <w:tcW w:type="dxa" w:w="5102"/>
            <w:vAlign w:val="center"/>
          </w:tcPr>
          <w:p>
            <w:pPr>
              <w:spacing w:before="0" w:after="0"/>
            </w:pPr>
            <w:r>
              <w:rPr>
                <w:rFonts w:ascii="Calibri" w:hAnsi="Calibri"/>
                <w:b w:val="0"/>
                <w:color w:val="1C1A22"/>
                <w:sz w:val="19"/>
              </w:rPr>
              <w:t>Identical clouds separating into a single distributed mass.</w:t>
            </w:r>
          </w:p>
        </w:tc>
      </w:tr>
      <w:tr>
        <w:tc>
          <w:tcPr>
            <w:tcW w:type="dxa" w:w="1928"/>
            <w:vAlign w:val="center"/>
          </w:tcPr>
          <w:p>
            <w:pPr>
              <w:spacing w:before="0" w:after="0"/>
            </w:pPr>
            <w:r>
              <w:rPr>
                <w:rFonts w:ascii="Calibri" w:hAnsi="Calibri"/>
                <w:b w:val="0"/>
                <w:color w:val="1C1A22"/>
                <w:sz w:val="19"/>
              </w:rPr>
              <w:t>Drum Circle</w:t>
            </w:r>
          </w:p>
        </w:tc>
        <w:tc>
          <w:tcPr>
            <w:tcW w:type="dxa" w:w="907"/>
            <w:vAlign w:val="center"/>
          </w:tcPr>
          <w:p>
            <w:pPr>
              <w:spacing w:before="0" w:after="0"/>
            </w:pPr>
            <w:r>
              <w:rPr>
                <w:rFonts w:ascii="Calibri" w:hAnsi="Calibri"/>
                <w:b w:val="0"/>
                <w:color w:val="1C1A22"/>
                <w:sz w:val="19"/>
              </w:rPr>
              <w:t>4</w:t>
            </w:r>
          </w:p>
        </w:tc>
        <w:tc>
          <w:tcPr>
            <w:tcW w:type="dxa" w:w="1247"/>
            <w:vAlign w:val="center"/>
          </w:tcPr>
          <w:p>
            <w:pPr>
              <w:spacing w:before="0" w:after="0"/>
            </w:pPr>
            <w:r>
              <w:rPr>
                <w:rFonts w:ascii="Calibri" w:hAnsi="Calibri"/>
                <w:b w:val="0"/>
                <w:color w:val="1C1A22"/>
                <w:sz w:val="19"/>
              </w:rPr>
              <w:t>Orbit</w:t>
            </w:r>
          </w:p>
        </w:tc>
        <w:tc>
          <w:tcPr>
            <w:tcW w:type="dxa" w:w="5102"/>
            <w:vAlign w:val="center"/>
          </w:tcPr>
          <w:p>
            <w:pPr>
              <w:spacing w:before="0" w:after="0"/>
            </w:pPr>
            <w:r>
              <w:rPr>
                <w:rFonts w:ascii="Calibri" w:hAnsi="Calibri"/>
                <w:b w:val="0"/>
                <w:color w:val="1C1A22"/>
                <w:sz w:val="19"/>
              </w:rPr>
              <w:t>Four percussion parts at graded radii on a sextuplet grid.</w:t>
            </w:r>
          </w:p>
        </w:tc>
      </w:tr>
      <w:tr>
        <w:tc>
          <w:tcPr>
            <w:tcW w:type="dxa" w:w="1928"/>
            <w:vAlign w:val="center"/>
          </w:tcPr>
          <w:p>
            <w:pPr>
              <w:spacing w:before="0" w:after="0"/>
            </w:pPr>
            <w:r>
              <w:rPr>
                <w:rFonts w:ascii="Calibri" w:hAnsi="Calibri"/>
                <w:b w:val="0"/>
                <w:color w:val="1C1A22"/>
                <w:sz w:val="19"/>
              </w:rPr>
              <w:t>Orbital</w:t>
            </w:r>
          </w:p>
        </w:tc>
        <w:tc>
          <w:tcPr>
            <w:tcW w:type="dxa" w:w="907"/>
            <w:vAlign w:val="center"/>
          </w:tcPr>
          <w:p>
            <w:pPr>
              <w:spacing w:before="0" w:after="0"/>
            </w:pPr>
            <w:r>
              <w:rPr>
                <w:rFonts w:ascii="Calibri" w:hAnsi="Calibri"/>
                <w:b w:val="0"/>
                <w:color w:val="1C1A22"/>
                <w:sz w:val="19"/>
              </w:rPr>
              <w:t>4</w:t>
            </w:r>
          </w:p>
        </w:tc>
        <w:tc>
          <w:tcPr>
            <w:tcW w:type="dxa" w:w="1247"/>
            <w:vAlign w:val="center"/>
          </w:tcPr>
          <w:p>
            <w:pPr>
              <w:spacing w:before="0" w:after="0"/>
            </w:pPr>
            <w:r>
              <w:rPr>
                <w:rFonts w:ascii="Calibri" w:hAnsi="Calibri"/>
                <w:b w:val="0"/>
                <w:color w:val="1C1A22"/>
                <w:sz w:val="19"/>
              </w:rPr>
              <w:t>Orbit</w:t>
            </w:r>
          </w:p>
        </w:tc>
        <w:tc>
          <w:tcPr>
            <w:tcW w:type="dxa" w:w="5102"/>
            <w:vAlign w:val="center"/>
          </w:tcPr>
          <w:p>
            <w:pPr>
              <w:spacing w:before="0" w:after="0"/>
            </w:pPr>
            <w:r>
              <w:rPr>
                <w:rFonts w:ascii="Calibri" w:hAnsi="Calibri"/>
                <w:b w:val="0"/>
                <w:color w:val="1C1A22"/>
                <w:sz w:val="19"/>
              </w:rPr>
              <w:t>Graded orbital radii from 6% to 40% on a 96-second period.</w:t>
            </w:r>
          </w:p>
        </w:tc>
      </w:tr>
      <w:tr>
        <w:tc>
          <w:tcPr>
            <w:tcW w:type="dxa" w:w="1928"/>
            <w:vAlign w:val="center"/>
          </w:tcPr>
          <w:p>
            <w:pPr>
              <w:spacing w:before="0" w:after="0"/>
            </w:pPr>
            <w:r>
              <w:rPr>
                <w:rFonts w:ascii="Calibri" w:hAnsi="Calibri"/>
                <w:b w:val="0"/>
                <w:color w:val="1C1A22"/>
                <w:sz w:val="19"/>
              </w:rPr>
              <w:t>Fractured Grid</w:t>
            </w:r>
          </w:p>
        </w:tc>
        <w:tc>
          <w:tcPr>
            <w:tcW w:type="dxa" w:w="907"/>
            <w:vAlign w:val="center"/>
          </w:tcPr>
          <w:p>
            <w:pPr>
              <w:spacing w:before="0" w:after="0"/>
            </w:pPr>
            <w:r>
              <w:rPr>
                <w:rFonts w:ascii="Calibri" w:hAnsi="Calibri"/>
                <w:b w:val="0"/>
                <w:color w:val="1C1A22"/>
                <w:sz w:val="19"/>
              </w:rPr>
              <w:t>3</w:t>
            </w:r>
          </w:p>
        </w:tc>
        <w:tc>
          <w:tcPr>
            <w:tcW w:type="dxa" w:w="1247"/>
            <w:vAlign w:val="center"/>
          </w:tcPr>
          <w:p>
            <w:pPr>
              <w:spacing w:before="0" w:after="0"/>
            </w:pPr>
            <w:r>
              <w:rPr>
                <w:rFonts w:ascii="Calibri" w:hAnsi="Calibri"/>
                <w:b w:val="0"/>
                <w:color w:val="1C1A22"/>
                <w:sz w:val="19"/>
              </w:rPr>
              <w:t>Diverge</w:t>
            </w:r>
          </w:p>
        </w:tc>
        <w:tc>
          <w:tcPr>
            <w:tcW w:type="dxa" w:w="5102"/>
            <w:vAlign w:val="center"/>
          </w:tcPr>
          <w:p>
            <w:pPr>
              <w:spacing w:before="0" w:after="0"/>
            </w:pPr>
            <w:r>
              <w:rPr>
                <w:rFonts w:ascii="Calibri" w:hAnsi="Calibri"/>
                <w:b w:val="0"/>
                <w:color w:val="1C1A22"/>
                <w:sz w:val="19"/>
              </w:rPr>
              <w:t>Length drift at high magnitude against 75% quantisation.</w:t>
            </w:r>
          </w:p>
        </w:tc>
      </w:tr>
    </w:tbl>
    <w:p/>
    <w:p>
      <w:pPr>
        <w:pStyle w:val="Heading1"/>
      </w:pPr>
      <w:r>
        <w:t>References</w:t>
      </w:r>
    </w:p>
    <w:p>
      <w:pPr>
        <w:spacing w:after="120"/>
        <w:ind w:left="340" w:hanging="340"/>
      </w:pPr>
      <w:r>
        <w:rPr>
          <w:rFonts w:ascii="Calibri" w:hAnsi="Calibri"/>
          <w:color w:val="1C1A22"/>
          <w:sz w:val="21"/>
        </w:rPr>
        <w:t>International Telecommunication Union. Recommendation ITU-R M.1677-1: International Morse code. Geneva, 2009.</w:t>
      </w:r>
    </w:p>
    <w:p>
      <w:pPr>
        <w:spacing w:after="120"/>
        <w:ind w:left="340" w:hanging="340"/>
      </w:pPr>
      <w:r>
        <w:rPr>
          <w:rFonts w:ascii="Calibri" w:hAnsi="Calibri"/>
          <w:color w:val="1C1A22"/>
          <w:sz w:val="21"/>
        </w:rPr>
        <w:t>Reich, S. Writings on Music 1965–2000. Oxford University Press, 2002.</w:t>
      </w:r>
    </w:p>
    <w:p>
      <w:pPr>
        <w:spacing w:after="120"/>
        <w:ind w:left="340" w:hanging="340"/>
      </w:pPr>
      <w:r>
        <w:rPr>
          <w:rFonts w:ascii="Calibri" w:hAnsi="Calibri"/>
          <w:color w:val="1C1A22"/>
          <w:sz w:val="21"/>
        </w:rPr>
        <w:t>Cage, J. Silence: Lectures and Writings. Wesleyan University Press, 1961.</w:t>
      </w:r>
    </w:p>
    <w:p>
      <w:pPr>
        <w:spacing w:after="120"/>
        <w:ind w:left="340" w:hanging="340"/>
      </w:pPr>
      <w:r>
        <w:rPr>
          <w:rFonts w:ascii="Calibri" w:hAnsi="Calibri"/>
          <w:color w:val="1C1A22"/>
          <w:sz w:val="21"/>
        </w:rPr>
        <w:t>Xenakis, I. Formalized Music: Thought and Mathematics in Composition. 2nd edn, Pendragon Press, 1992.</w:t>
      </w:r>
    </w:p>
    <w:p>
      <w:pPr>
        <w:spacing w:after="120"/>
        <w:ind w:left="340" w:hanging="340"/>
      </w:pPr>
      <w:r>
        <w:rPr>
          <w:rFonts w:ascii="Calibri" w:hAnsi="Calibri"/>
          <w:color w:val="1C1A22"/>
          <w:sz w:val="21"/>
        </w:rPr>
        <w:t>W3C. Web Audio API. W3C Recommendation, 17 June 2021.</w:t>
      </w:r>
    </w:p>
    <w:p>
      <w:pPr>
        <w:spacing w:after="120"/>
        <w:ind w:left="340" w:hanging="340"/>
      </w:pPr>
      <w:r>
        <w:rPr>
          <w:rFonts w:ascii="Calibri" w:hAnsi="Calibri"/>
          <w:color w:val="1C1A22"/>
          <w:sz w:val="21"/>
        </w:rPr>
        <w:t>Wilson, C. A Tale of Two Clocks: Scheduling Web Audio with Precision. Web Audio Conference materials, 2013.</w:t>
      </w:r>
    </w:p>
    <w:p>
      <w:pPr>
        <w:spacing w:after="120"/>
        <w:ind w:left="340" w:hanging="340"/>
      </w:pPr>
      <w:r>
        <w:rPr>
          <w:rFonts w:ascii="Calibri" w:hAnsi="Calibri"/>
          <w:color w:val="1C1A22"/>
          <w:sz w:val="21"/>
        </w:rPr>
        <w:t>Smith, J. O. Physical Audio Signal Processing. W3K Publishing, 2010.</w:t>
      </w:r>
    </w:p>
    <w:p>
      <w:pPr>
        <w:spacing w:after="120"/>
        <w:ind w:left="340" w:hanging="340"/>
      </w:pPr>
      <w:r>
        <w:rPr>
          <w:rFonts w:ascii="Calibri" w:hAnsi="Calibri"/>
          <w:color w:val="1C1A22"/>
          <w:sz w:val="21"/>
        </w:rPr>
        <w:t>Moorer, J. A. About This Reverberation Business. Computer Music Journal 3(2), 1979.</w:t>
      </w:r>
    </w:p>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eastAsia="Calibri"/>
        <w:color w:val="686370"/>
        <w:sz w:val="17"/>
      </w:rPr>
      <w:t xml:space="preserve">EventFieldAudio  ·  </w:t>
    </w:r>
    <w:r>
      <w:fldChar w:fldCharType="begin"/>
      <w:instrText xml:space="preserve">PAGE</w:instrText>
      <w:fldChar w:fldCharType="separate"/>
      <w:t/>
      <w:fldChar w:fldCharType="end"/>
    </w:r>
    <w:r>
      <w:rPr>
        <w:rFonts w:ascii="Calibri" w:hAnsi="Calibri" w:eastAsia="Calibri"/>
        <w:color w:val="686370"/>
        <w:sz w:val="17"/>
      </w:rPr>
      <w:t xml:space="preserve"> / </w:t>
    </w:r>
    <w:r>
      <w:fldChar w:fldCharType="begin"/>
      <w:instrText xml:space="preserve">NUMPAGES</w:instrText>
      <w:fldChar w:fldCharType="separate"/>
      <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olor w:val="686370"/>
        <w:sz w:val="17"/>
      </w:rPr>
      <w:t>Copyright © 2026 James Richmond · EventFieldAudio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Pr>
    <w:r>
      <w:rPr>
        <w:rFonts w:ascii="Calibri" w:hAnsi="Calibri" w:eastAsia="Calibri"/>
        <w:b/>
        <w:color w:val="686370"/>
        <w:sz w:val="17"/>
      </w:rPr>
      <w:t>DRIFTGRID</w:t>
    </w:r>
    <w:r>
      <w:rPr>
        <w:rFonts w:ascii="Calibri" w:hAnsi="Calibri" w:eastAsia="Calibri"/>
        <w:color w:val="686370"/>
        <w:sz w:val="17"/>
      </w:rPr>
      <w:tab/>
      <w:t>TECHNICAL WHITE PAPER · 1.0.0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multiLevelType w:val="singleLevel"/>
    <w:lvl w:ilvl="0">
      <w:start w:val="1"/>
      <w:numFmt w:val="decimal"/>
      <w:lvlText w:val="%1."/>
      <w:lvlJc w:val="left"/>
      <w:pPr>
        <w:tabs>
          <w:tab w:val="num" w:pos="720"/>
        </w:tabs>
        <w:ind w:left="720" w:hanging="360"/>
      </w:pPr>
      <w:rPr>
        <w:rFonts w:ascii="Calibri" w:hAnsi="Calibri"/>
      </w:rPr>
    </w:lvl>
  </w:abstractNum>
  <w:abstractNum w:abstractNumId="9">
    <w:multiLevelType w:val="singleLevel"/>
    <w:lvl w:ilvl="0">
      <w:start w:val="1"/>
      <w:numFmt w:val="bullet"/>
      <w:lvlText w:val="•"/>
      <w:lvlJc w:val="left"/>
      <w:pPr>
        <w:tabs>
          <w:tab w:val="num" w:pos="720"/>
        </w:tabs>
        <w:ind w:left="720" w:hanging="360"/>
      </w:pPr>
      <w:rPr>
        <w:rFonts w:ascii="Calibri" w:hAnsi="Calibri"/>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10"/>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10"/>
    <w:lvlOverride w:ilvl="0">
      <w:startOverride w:val="1"/>
    </w:lvlOverride>
  </w:num>
  <w:num w:numId="37">
    <w:abstractNumId w:val="9"/>
    <w:lvlOverride w:ilvl="0">
      <w:startOverride w:val="1"/>
    </w:lvlOverride>
  </w:num>
  <w:num w:numId="38">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C1A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83510F"/>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83510F"/>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4D475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160" w:line="280" w:lineRule="auto"/>
      <w:ind w:left="720" w:hanging="360"/>
      <w:contextualSpacing/>
    </w:pPr>
    <w:rPr>
      <w:rFonts w:ascii="Calibri" w:hAnsi="Calibri"/>
      <w:color w:val="1C1A22"/>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before="0" w:after="160" w:line="280" w:lineRule="auto"/>
      <w:ind w:left="720" w:hanging="360"/>
      <w:contextualSpacing/>
    </w:pPr>
    <w:rPr>
      <w:rFonts w:ascii="Calibri" w:hAnsi="Calibri"/>
      <w:color w:val="1C1A22"/>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quation">
    <w:name w:val="Equation"/>
    <w:basedOn w:val="Normal"/>
    <w:pPr>
      <w:keepLines/>
      <w:spacing w:before="100" w:after="160" w:line="276" w:lineRule="auto"/>
      <w:ind w:left="317" w:right="259"/>
    </w:pPr>
    <w:rPr>
      <w:rFonts w:ascii="Cambria Math" w:hAnsi="Cambria Math"/>
      <w:color w:val="1C1A22"/>
      <w:sz w:val="21"/>
    </w:rPr>
  </w:style>
  <w:style w:type="paragraph" w:customStyle="1" w:styleId="CodeBlock">
    <w:name w:val="Code Block"/>
    <w:basedOn w:val="Normal"/>
    <w:pPr>
      <w:keepLines/>
      <w:spacing w:before="100" w:after="160" w:line="240" w:lineRule="auto"/>
      <w:ind w:left="317" w:right="259"/>
    </w:pPr>
    <w:rPr>
      <w:rFonts w:ascii="Consolas" w:hAnsi="Consolas"/>
      <w:color w:val="1C1A22"/>
      <w:sz w:val="18"/>
    </w:rPr>
  </w:style>
  <w:style w:type="paragraph" w:customStyle="1" w:styleId="AbstractBody">
    <w:name w:val="Abstract Body"/>
    <w:basedOn w:val="Normal"/>
    <w:pPr>
      <w:spacing w:after="180" w:line="288" w:lineRule="auto"/>
    </w:pPr>
    <w:rPr>
      <w:rFonts w:ascii="Calibri" w:hAnsi="Calibri"/>
      <w:color w:val="1C1A22"/>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www.w3.org/TR/webaudio-1.1/" TargetMode="External"/><Relationship Id="rId13" Type="http://schemas.openxmlformats.org/officeDocument/2006/relationships/hyperlink" Target="https://www.itu.int/rec/R-REC-M.1677-1-200910-I/" TargetMode="External"/><Relationship Id="rId14" Type="http://schemas.openxmlformats.org/officeDocument/2006/relationships/hyperlink" Target="https://tc39.es/ecma262/multipage/numbers-and-dates.html#sec-math.rand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DriftGrid — Technical White Paper</dc:title>
  <dc:subject>Technical white paper for EventField Web version 0.3</dc:subject>
  <dc:creator>James Richmond</dc:creator>
  <cp:keywords>EventField Web, generative music, Web Audio API, Morse code, stochastic synthesis</cp:keywords>
  <dc:description>Prepared by EventFieldAudio</dc:description>
  <cp:lastModifiedBy/>
  <cp:revision>1</cp:revision>
  <dcterms:created xsi:type="dcterms:W3CDTF">2013-12-23T23:15:00Z</dcterms:created>
  <dcterms:modified xsi:type="dcterms:W3CDTF">2013-12-23T23:15:00Z</dcterms:modified>
  <cp:category/>
</cp:coreProperties>
</file>